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3F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ZA STARIJE I NEMOĆNE OSOBE SPLIT</w:t>
      </w:r>
    </w:p>
    <w:p w14:paraId="2A58A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pl. Zajca br.2</w:t>
      </w:r>
    </w:p>
    <w:p w14:paraId="26F6D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21000 Split</w:t>
      </w:r>
    </w:p>
    <w:p w14:paraId="66B55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8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021/401-812</w:t>
      </w:r>
    </w:p>
    <w:p w14:paraId="4A03DCD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Roboto" w:hAnsi="Roboto"/>
          <w:color w:val="444746"/>
          <w:spacing w:val="2"/>
          <w:sz w:val="18"/>
          <w:szCs w:val="18"/>
          <w:shd w:val="clear" w:color="auto" w:fill="FFFFFF"/>
        </w:rPr>
        <w:t>racunovodstvo.zenta@gmail.com</w:t>
      </w:r>
    </w:p>
    <w:p w14:paraId="113AE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EE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0727601</w:t>
      </w:r>
    </w:p>
    <w:p w14:paraId="74C4C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69403366669</w:t>
      </w:r>
    </w:p>
    <w:p w14:paraId="3C6DB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E1D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07831</w:t>
      </w:r>
    </w:p>
    <w:p w14:paraId="3EEEA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 31, Razdjel: 000</w:t>
      </w:r>
    </w:p>
    <w:p w14:paraId="63B92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8730</w:t>
      </w:r>
    </w:p>
    <w:p w14:paraId="518AD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županije: 492</w:t>
      </w:r>
    </w:p>
    <w:p w14:paraId="57389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D47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73D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9F9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BILJEŠKE UZ FINANCIJSKE IZVJEŠTAJE</w:t>
      </w:r>
    </w:p>
    <w:p w14:paraId="367F4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 razdoblje 01.01.202</w:t>
      </w:r>
      <w:r>
        <w:rPr>
          <w:rFonts w:hint="default" w:ascii="Times New Roman" w:hAnsi="Times New Roman" w:cs="Times New Roman"/>
          <w:b/>
          <w:sz w:val="32"/>
          <w:szCs w:val="32"/>
          <w:lang w:val="hr-HR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 – 31.12.202</w:t>
      </w:r>
      <w:r>
        <w:rPr>
          <w:rFonts w:hint="default" w:ascii="Times New Roman" w:hAnsi="Times New Roman" w:cs="Times New Roman"/>
          <w:b/>
          <w:sz w:val="32"/>
          <w:szCs w:val="32"/>
          <w:lang w:val="hr-HR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.g.</w:t>
      </w:r>
    </w:p>
    <w:p w14:paraId="4D21B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992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Financijski izvještaj Doma za starije i nemoćne osobe Split sastavljen je sukladno Zakonu o proračunu (144/21) i Pravilniku o financijskom izvještavanju u proračunskom računovodstvu (N.N. 34/2022) na slijedećim financijskim izvještajima: </w:t>
      </w:r>
    </w:p>
    <w:p w14:paraId="1F17C5FB"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prihodima i rashodima - Obrazac PR-RAS</w:t>
      </w:r>
    </w:p>
    <w:p w14:paraId="33B694AD"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Bilanca – Obrazac Bilanca</w:t>
      </w:r>
    </w:p>
    <w:p w14:paraId="1FE175DF"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rashodima prema funkcijskoj klasifikaciji – RAS funkcijski</w:t>
      </w:r>
    </w:p>
    <w:p w14:paraId="01AB647B"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obvezama - Obrazac Obveze</w:t>
      </w:r>
    </w:p>
    <w:p w14:paraId="207C8E2B"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promjenama u vrijednosti i obujmu imovine i obveza  - Obrazac P-VRIO</w:t>
      </w:r>
    </w:p>
    <w:p w14:paraId="6566CA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74A5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C2B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EF1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DF4DC">
      <w:pPr>
        <w:spacing w:after="0" w:line="240" w:lineRule="auto"/>
        <w:jc w:val="center"/>
        <w:rPr>
          <w:rFonts w:ascii="Times New Roman" w:hAnsi="Times New Roman" w:cs="Times New Roman"/>
          <w:b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PR RAS – Izvještaj o prihodima i rashodima, primicima i izdacima</w:t>
      </w:r>
    </w:p>
    <w:p w14:paraId="5B876B1F">
      <w:pPr>
        <w:spacing w:after="0" w:line="240" w:lineRule="auto"/>
        <w:jc w:val="both"/>
        <w:rPr>
          <w:rFonts w:ascii="Times New Roman" w:hAnsi="Times New Roman" w:cs="Times New Roman"/>
          <w:b/>
          <w:color w:val="558ED5" w:themeColor="text2" w:themeTint="99"/>
          <w:sz w:val="32"/>
          <w:szCs w:val="32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358F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333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763B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Bilješka broj 1</w:t>
      </w:r>
    </w:p>
    <w:p w14:paraId="0EF8516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7312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Šifra 6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10.820.939,00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odnosi se na ukupne prihode ostvarene u razdoblju siječanj – prosinac 202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.godine, isti su veći za 1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,1% od prihoda ostvarenih u izvještajnom razdoblju 202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godine zbog povećanja cijena usluga od 01.0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0DD0B0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E729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D1AD3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  <w:t>Bilješka broj 2</w:t>
      </w:r>
    </w:p>
    <w:p w14:paraId="333C621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</w:pPr>
    </w:p>
    <w:p w14:paraId="2E8C896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6361 Tekuće pomoći proračunskim korisnicima iz proračuna koji im nije nadležan (Grad Split) </w:t>
      </w:r>
      <w:r>
        <w:rPr>
          <w:rFonts w:ascii="Times New Roman" w:hAnsi="Times New Roman" w:cs="Times New Roman"/>
          <w:iCs/>
          <w:sz w:val="24"/>
          <w:szCs w:val="24"/>
        </w:rPr>
        <w:t>u iznosu od 1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.500</w:t>
      </w:r>
      <w:r>
        <w:rPr>
          <w:rFonts w:ascii="Times New Roman" w:hAnsi="Times New Roman" w:cs="Times New Roman"/>
          <w:iCs/>
          <w:sz w:val="24"/>
          <w:szCs w:val="24"/>
        </w:rPr>
        <w:t xml:space="preserve">,00 eura za potrebe korisnika. </w:t>
      </w:r>
    </w:p>
    <w:p w14:paraId="3D6FED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4C59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1F56F9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hr-HR"/>
        </w:rPr>
      </w:pPr>
    </w:p>
    <w:p w14:paraId="5020B9E0"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hr-HR"/>
        </w:rPr>
      </w:pPr>
    </w:p>
    <w:p w14:paraId="789E69B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7049FA0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  <w:t>Bilješka broj 5</w:t>
      </w:r>
    </w:p>
    <w:p w14:paraId="6109BE1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</w:p>
    <w:p w14:paraId="4DCDCF8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bookmarkStart w:id="0" w:name="_Hlk126049210"/>
      <w:r>
        <w:rPr>
          <w:rFonts w:ascii="Times New Roman" w:hAnsi="Times New Roman" w:cs="Times New Roman"/>
          <w:i/>
          <w:sz w:val="24"/>
          <w:szCs w:val="24"/>
        </w:rPr>
        <w:t xml:space="preserve">         Šifra 6416 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Prihod od dividendi </w:t>
      </w:r>
      <w:r>
        <w:rPr>
          <w:rFonts w:ascii="Times New Roman" w:hAnsi="Times New Roman" w:cs="Times New Roman"/>
          <w:iCs/>
          <w:sz w:val="24"/>
          <w:szCs w:val="24"/>
        </w:rPr>
        <w:t>u iznosu od 1.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951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12</w:t>
      </w:r>
      <w:r>
        <w:rPr>
          <w:rFonts w:ascii="Times New Roman" w:hAnsi="Times New Roman" w:cs="Times New Roman"/>
          <w:iCs/>
          <w:sz w:val="24"/>
          <w:szCs w:val="24"/>
        </w:rPr>
        <w:t xml:space="preserve"> eura odnosi se na prihode od dividendi Valamar Riviera ( račun iz 1995.g. Brodosplit – sporna potraživanja, zamjena za dionice ).</w:t>
      </w:r>
    </w:p>
    <w:p w14:paraId="7BD4B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CC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2EFB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Bilješka broj 6</w:t>
      </w:r>
    </w:p>
    <w:p w14:paraId="1C4227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BD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Šifra 6526 Ostali nespomenuti prihodi</w:t>
      </w:r>
      <w:r>
        <w:rPr>
          <w:rFonts w:ascii="Times New Roman" w:hAnsi="Times New Roman" w:cs="Times New Roman"/>
          <w:sz w:val="24"/>
          <w:szCs w:val="24"/>
        </w:rPr>
        <w:t xml:space="preserve"> (prihodi od korisnika) iznose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4.473.753,94</w:t>
      </w:r>
      <w:r>
        <w:rPr>
          <w:rFonts w:ascii="Times New Roman" w:hAnsi="Times New Roman" w:cs="Times New Roman"/>
          <w:sz w:val="24"/>
          <w:szCs w:val="24"/>
        </w:rPr>
        <w:t xml:space="preserve"> eura, isti su veći za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13,6</w:t>
      </w:r>
      <w:r>
        <w:rPr>
          <w:rFonts w:ascii="Times New Roman" w:hAnsi="Times New Roman" w:cs="Times New Roman"/>
          <w:sz w:val="24"/>
          <w:szCs w:val="24"/>
        </w:rPr>
        <w:t>% u odnosu na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.g. </w:t>
      </w:r>
    </w:p>
    <w:p w14:paraId="56D0B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6F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55D8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  <w:t>Bilješka broj 7</w:t>
      </w:r>
    </w:p>
    <w:p w14:paraId="7082051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</w:p>
    <w:p w14:paraId="635FC56A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iCs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6615 Prihodi od pruženih usluga </w:t>
      </w:r>
      <w:r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95.230,57</w:t>
      </w:r>
      <w:r>
        <w:rPr>
          <w:rFonts w:ascii="Times New Roman" w:hAnsi="Times New Roman" w:cs="Times New Roman"/>
          <w:iCs/>
          <w:sz w:val="24"/>
          <w:szCs w:val="24"/>
        </w:rPr>
        <w:t xml:space="preserve"> eura odnose se na vlastite prihode (najam prostora), isti su veći za 2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7,9</w:t>
      </w:r>
      <w:r>
        <w:rPr>
          <w:rFonts w:ascii="Times New Roman" w:hAnsi="Times New Roman" w:cs="Times New Roman"/>
          <w:iCs/>
          <w:sz w:val="24"/>
          <w:szCs w:val="24"/>
        </w:rPr>
        <w:t>% u odnosu na 202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iCs/>
          <w:sz w:val="24"/>
          <w:szCs w:val="24"/>
        </w:rPr>
        <w:t>.g iz razloga što je povećana cijena najma prostora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 xml:space="preserve"> i dodatni najam za parking.</w:t>
      </w:r>
    </w:p>
    <w:p w14:paraId="479D6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51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8BC7B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Bilješka broj 8</w:t>
      </w:r>
    </w:p>
    <w:p w14:paraId="3BF3AB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C496EB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Šifra 6631 Tekuće donacije </w:t>
      </w:r>
      <w:r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1.005,58</w:t>
      </w:r>
      <w:r>
        <w:rPr>
          <w:rFonts w:ascii="Times New Roman" w:hAnsi="Times New Roman" w:cs="Times New Roman"/>
          <w:iCs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 xml:space="preserve">odnose se na primljene donacije koje su znatno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manje </w:t>
      </w:r>
      <w:r>
        <w:rPr>
          <w:rFonts w:ascii="Times New Roman" w:hAnsi="Times New Roman" w:cs="Times New Roman"/>
          <w:sz w:val="24"/>
          <w:szCs w:val="24"/>
        </w:rPr>
        <w:t>u odnosu na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</w:rPr>
        <w:t>.g.</w:t>
      </w:r>
    </w:p>
    <w:p w14:paraId="31AC9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DAB5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2720776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4682599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  <w:t>Bilješka broj 9</w:t>
      </w:r>
    </w:p>
    <w:p w14:paraId="11B385D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</w:p>
    <w:p w14:paraId="2F2170D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6711 Prihodi iz nadležnog proračuna za financiranje rashoda poslovanja </w:t>
      </w:r>
      <w:r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5.729.385,89</w:t>
      </w:r>
      <w:r>
        <w:rPr>
          <w:rFonts w:ascii="Times New Roman" w:hAnsi="Times New Roman" w:cs="Times New Roman"/>
          <w:iCs/>
          <w:sz w:val="24"/>
          <w:szCs w:val="24"/>
        </w:rPr>
        <w:t xml:space="preserve"> eura.</w:t>
      </w:r>
    </w:p>
    <w:p w14:paraId="3017C4F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3F3213F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</w:p>
    <w:p w14:paraId="65DF30F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  <w:t>Bilješka broj 10</w:t>
      </w:r>
    </w:p>
    <w:p w14:paraId="3E657F8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</w:p>
    <w:p w14:paraId="3A8953C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Šifra 6712 Prihodi iz nadležnog proračuna za financiranje rashoda za nabavu nefinancijske imovine </w:t>
      </w:r>
      <w:r>
        <w:rPr>
          <w:rFonts w:ascii="Times New Roman" w:hAnsi="Times New Roman" w:cs="Times New Roman"/>
          <w:iCs/>
          <w:sz w:val="24"/>
          <w:szCs w:val="24"/>
        </w:rPr>
        <w:t xml:space="preserve">u iznosu od 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518.111,90</w:t>
      </w:r>
      <w:r>
        <w:rPr>
          <w:rFonts w:ascii="Times New Roman" w:hAnsi="Times New Roman" w:cs="Times New Roman"/>
          <w:iCs/>
          <w:sz w:val="24"/>
          <w:szCs w:val="24"/>
        </w:rPr>
        <w:t xml:space="preserve"> eura.</w:t>
      </w:r>
    </w:p>
    <w:p w14:paraId="1A26B0D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1A77549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5112789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hr-HR"/>
        </w:rPr>
        <w:t>Bilješka broj 11</w:t>
      </w:r>
    </w:p>
    <w:p w14:paraId="4CA90FD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3A42690C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Šifra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  <w:lang w:val="hr-HR"/>
        </w:rPr>
        <w:t xml:space="preserve"> 3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  <w:lang w:val="hr-HR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Z005</w:t>
      </w:r>
      <w:r>
        <w:rPr>
          <w:rFonts w:hint="default" w:ascii="Times New Roman" w:hAnsi="Times New Roman" w:cs="Times New Roman"/>
          <w:bCs/>
          <w:i/>
          <w:iCs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10.912.671,55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odnosi se na ukupne rashode ostvarene u razdoblju siječanj – prosinac 202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.godine, isti su veći za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 xml:space="preserve"> 27,1</w:t>
      </w:r>
      <w:r>
        <w:rPr>
          <w:rFonts w:ascii="Times New Roman" w:hAnsi="Times New Roman" w:cs="Times New Roman"/>
          <w:bCs/>
          <w:sz w:val="24"/>
          <w:szCs w:val="24"/>
        </w:rPr>
        <w:t xml:space="preserve"> % od rashoda ostvarenih u izvještajnom razdoblju 202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godine.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 xml:space="preserve"> </w:t>
      </w:r>
    </w:p>
    <w:p w14:paraId="25A4562F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sz w:val="24"/>
          <w:szCs w:val="24"/>
          <w:lang w:val="hr-HR"/>
        </w:rPr>
      </w:pPr>
    </w:p>
    <w:p w14:paraId="69CDD6D8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</w:t>
      </w:r>
    </w:p>
    <w:p w14:paraId="51FF1D3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525FA7F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12</w:t>
      </w:r>
    </w:p>
    <w:p w14:paraId="3ABBF1C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1FDBF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Šifra 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Rashodi za zaposlene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7.479.518,42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isti su veći za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41,2</w:t>
      </w:r>
      <w:r>
        <w:rPr>
          <w:rFonts w:ascii="Times New Roman" w:hAnsi="Times New Roman" w:cs="Times New Roman"/>
          <w:bCs/>
          <w:sz w:val="24"/>
          <w:szCs w:val="24"/>
        </w:rPr>
        <w:t>% u odnosu na 202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.g. zbog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primjene uredbe o nazivima radnih mjesta i kojeficijentima složenosti poslova u javnim službama, ista je stupila na snagu 01.03.2024.godine. U rashod je uključena i trinaesta plaća 12/2024 godine,koja se isplaćuje u siječnju 2025. godine.  Temeljnim TKU za javne službe ugovoreno je i novo materijalno pravo isplata uskrsnice te je ista isplaćena u ožujku 2024.godine.</w:t>
      </w:r>
    </w:p>
    <w:p w14:paraId="46B816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F8D7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22AE3A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13</w:t>
      </w:r>
    </w:p>
    <w:p w14:paraId="326CBC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8E79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Šifra 32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Materijalni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3.395.976,57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eura, isti su veći za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5,2</w:t>
      </w:r>
      <w:r>
        <w:rPr>
          <w:rFonts w:ascii="Times New Roman" w:hAnsi="Times New Roman" w:cs="Times New Roman"/>
          <w:bCs/>
          <w:sz w:val="24"/>
          <w:szCs w:val="24"/>
        </w:rPr>
        <w:t>% u odnosu na 202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.g.</w:t>
      </w:r>
    </w:p>
    <w:p w14:paraId="3432BC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53A7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FB02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14</w:t>
      </w:r>
    </w:p>
    <w:p w14:paraId="708B2A3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DEF9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Šifra 34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Financijski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18.311,17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eura, isti su manji za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42</w:t>
      </w:r>
      <w:r>
        <w:rPr>
          <w:rFonts w:ascii="Times New Roman" w:hAnsi="Times New Roman" w:cs="Times New Roman"/>
          <w:bCs/>
          <w:sz w:val="24"/>
          <w:szCs w:val="24"/>
        </w:rPr>
        <w:t>% u odnosu na 202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.g. (zatezne kamate na neisplaćenu bruto osnovicu plaće zbog sudskih presuda za razdoblje 2016.-2017.g.).</w:t>
      </w:r>
    </w:p>
    <w:p w14:paraId="05CC09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B99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074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15</w:t>
      </w:r>
    </w:p>
    <w:p w14:paraId="4998E03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8DDE5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Šifra 37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Naknade građanima i kućanstvima (džeparci)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18.865,39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isti su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manji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23</w:t>
      </w:r>
      <w:r>
        <w:rPr>
          <w:rFonts w:ascii="Times New Roman" w:hAnsi="Times New Roman" w:cs="Times New Roman"/>
          <w:bCs/>
          <w:sz w:val="24"/>
          <w:szCs w:val="24"/>
        </w:rPr>
        <w:t>%  u odnosu na 202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.g. (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zbog povećanja mirovina,jednokratnih pomoći JNP i božićnica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685EE04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249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EF398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Bilješka broj 16</w:t>
      </w:r>
    </w:p>
    <w:p w14:paraId="157FB46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AD168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145BA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Šifra 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394.332,89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eura, isti su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 xml:space="preserve">manji </w:t>
      </w:r>
      <w:r>
        <w:rPr>
          <w:rFonts w:ascii="Times New Roman" w:hAnsi="Times New Roman" w:cs="Times New Roman"/>
          <w:bCs/>
          <w:sz w:val="24"/>
          <w:szCs w:val="24"/>
        </w:rPr>
        <w:t>za 9,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% u odnosu na 202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.g. </w:t>
      </w:r>
    </w:p>
    <w:p w14:paraId="6CBEB5F6">
      <w:pPr>
        <w:rPr>
          <w:rFonts w:ascii="Times New Roman" w:hAnsi="Times New Roman" w:cs="Times New Roman"/>
          <w:bCs/>
          <w:sz w:val="24"/>
          <w:szCs w:val="24"/>
        </w:rPr>
      </w:pPr>
    </w:p>
    <w:p w14:paraId="607429EB">
      <w:pPr>
        <w:rPr>
          <w:i/>
        </w:rPr>
      </w:pPr>
    </w:p>
    <w:p w14:paraId="6186C5BA">
      <w:pPr>
        <w:rPr>
          <w:i/>
        </w:rPr>
      </w:pPr>
    </w:p>
    <w:p w14:paraId="1C50761C">
      <w:pPr>
        <w:rPr>
          <w:i/>
        </w:rPr>
      </w:pPr>
    </w:p>
    <w:p w14:paraId="3E90913A">
      <w:pPr>
        <w:rPr>
          <w:i/>
        </w:rPr>
      </w:pPr>
    </w:p>
    <w:p w14:paraId="32B5175B">
      <w:pPr>
        <w:rPr>
          <w:i/>
        </w:rPr>
      </w:pPr>
    </w:p>
    <w:p w14:paraId="389E9AA4">
      <w:pPr>
        <w:rPr>
          <w:i/>
        </w:rPr>
      </w:pPr>
    </w:p>
    <w:p w14:paraId="482EC705">
      <w:pPr>
        <w:spacing w:after="0" w:line="240" w:lineRule="auto"/>
        <w:jc w:val="both"/>
        <w:rPr>
          <w:i/>
        </w:rPr>
      </w:pPr>
    </w:p>
    <w:p w14:paraId="0484E7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4595E5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Bilanca  - obrazac BIL</w:t>
      </w:r>
    </w:p>
    <w:p w14:paraId="229731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1D407D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4E1605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3DDE83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Bilješka broj 1 </w:t>
      </w:r>
    </w:p>
    <w:p w14:paraId="1C6D6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C978F30"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Šifra B001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Nefinancijska imovina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smanjila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se za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0,60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%  u odnosu na 31.12.202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.g.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jer je veći iznos amortizacije nego vrijednost nefinancijske imovine.</w:t>
      </w:r>
    </w:p>
    <w:p w14:paraId="3B2C7E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D5CFD7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Bilješka broj 2  </w:t>
      </w:r>
    </w:p>
    <w:p w14:paraId="33741CE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88510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Šifra 111  Novac u banci i blagajni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odgovara stanju žiro računa i blagajne na dan 31.12.202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.g. i iznosi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803.327,08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eura.</w:t>
      </w:r>
    </w:p>
    <w:p w14:paraId="44A3F9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3E338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F05369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Bilješka broj 3</w:t>
      </w:r>
    </w:p>
    <w:p w14:paraId="360CA0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D804B8F">
      <w:pPr>
        <w:spacing w:after="0" w:line="24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Šifra 12  Depoziti, jamčevni polozi  i potraživanja od zaposlenih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odnosi se na potraživanja od zaposlenih i od HZZO za isplaćena bolovanja duža od 42 dana i iznose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116.252,24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eura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. </w:t>
      </w:r>
    </w:p>
    <w:p w14:paraId="4AB3B5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DDF63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E0A213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Bilješka broj 4</w:t>
      </w:r>
    </w:p>
    <w:p w14:paraId="45A82C5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FB8FF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Šifra 15  Dionice i udjeli u glavnici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u iznosu od 17.638,86 eura odnosi se na dionice primljene od Hrvatskog fonda za privatizaciju u svrhu zamjene za potraživanja.</w:t>
      </w:r>
    </w:p>
    <w:p w14:paraId="24357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56D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2D591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3AAC6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Bilješka broj 6</w:t>
      </w:r>
    </w:p>
    <w:p w14:paraId="03DAC52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40293C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Šifra 922  Ukupan </w:t>
      </w:r>
      <w:r>
        <w:rPr>
          <w:rFonts w:hint="default" w:ascii="Times New Roman" w:hAnsi="Times New Roman" w:cs="Times New Roman"/>
          <w:i/>
          <w:sz w:val="24"/>
          <w:szCs w:val="24"/>
          <w:lang w:val="hr-HR"/>
        </w:rPr>
        <w:t>manjak</w:t>
      </w:r>
      <w:r>
        <w:rPr>
          <w:rFonts w:ascii="Times New Roman" w:hAnsi="Times New Roman" w:cs="Times New Roman"/>
          <w:i/>
          <w:sz w:val="24"/>
          <w:szCs w:val="24"/>
        </w:rPr>
        <w:t xml:space="preserve"> prihoda poslovanja</w:t>
      </w:r>
      <w:r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iznosi </w:t>
      </w: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 xml:space="preserve"> -182.272,88 </w:t>
      </w:r>
      <w:r>
        <w:rPr>
          <w:rFonts w:ascii="Times New Roman" w:hAnsi="Times New Roman" w:cs="Times New Roman"/>
          <w:iCs/>
          <w:sz w:val="24"/>
          <w:szCs w:val="24"/>
        </w:rPr>
        <w:t>eura.</w:t>
      </w:r>
    </w:p>
    <w:p w14:paraId="3F1A9A34">
      <w:pPr>
        <w:rPr>
          <w:rFonts w:hint="default" w:ascii="Times New Roman" w:hAnsi="Times New Roman" w:cs="Times New Roman"/>
          <w:i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 xml:space="preserve">Manjak prihoda poslovanja je nastao iz razloga jer je knjižen trinaesti rashod za  plaće u iznosu od 588.071,16 eura za 12. mjesec 2024. godine ( isplata u siječnju 2025.god.) </w:t>
      </w:r>
      <w:bookmarkStart w:id="1" w:name="_GoBack"/>
      <w:bookmarkEnd w:id="1"/>
    </w:p>
    <w:p w14:paraId="45D64ADE">
      <w:pPr>
        <w:rPr>
          <w:rFonts w:hint="default" w:ascii="Times New Roman" w:hAnsi="Times New Roman" w:cs="Times New Roman"/>
          <w:i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 xml:space="preserve"> Iz rezultata poslovanja je bilo potrebno izdvojiti:</w:t>
      </w:r>
    </w:p>
    <w:p w14:paraId="19F0168C">
      <w:pPr>
        <w:ind w:left="120" w:hanging="120" w:hangingChars="50"/>
        <w:rPr>
          <w:rFonts w:hint="default" w:ascii="Times New Roman" w:hAnsi="Times New Roman" w:cs="Times New Roman"/>
          <w:i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- neutrošena namjenska sredstva za radove na sanaciji krova na objektu Vukovarska u iznosu od 313.451,40 eura,</w:t>
      </w:r>
    </w:p>
    <w:p w14:paraId="18C19C19">
      <w:pPr>
        <w:ind w:left="120" w:hanging="120" w:hangingChars="50"/>
        <w:rPr>
          <w:rFonts w:hint="default" w:ascii="Times New Roman" w:hAnsi="Times New Roman" w:cs="Times New Roman"/>
          <w:i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- neutrošena sredstva doznačena od grada Splita za korisnike u iznosu od 614,22 eura,</w:t>
      </w:r>
    </w:p>
    <w:p w14:paraId="7912B9ED">
      <w:pPr>
        <w:ind w:left="120" w:hanging="120" w:hangingChars="50"/>
        <w:rPr>
          <w:rFonts w:hint="default" w:ascii="Times New Roman" w:hAnsi="Times New Roman" w:cs="Times New Roman"/>
          <w:i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- neutrošena sredstva donacije za korisnike od fizičkih osoba u iznosu od 628,71 eura,</w:t>
      </w:r>
    </w:p>
    <w:p w14:paraId="1EE9B91F">
      <w:pPr>
        <w:ind w:left="120" w:hanging="120" w:hangingChars="50"/>
        <w:rPr>
          <w:rFonts w:hint="default" w:ascii="Times New Roman" w:hAnsi="Times New Roman" w:cs="Times New Roman"/>
          <w:i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- neutrošeni prihodi za posebne namjene u iznosu od 79.802,09 eura,</w:t>
      </w:r>
    </w:p>
    <w:p w14:paraId="251E7765">
      <w:pPr>
        <w:ind w:left="120" w:hanging="120" w:hangingChars="50"/>
        <w:rPr>
          <w:rFonts w:hint="default" w:ascii="Times New Roman" w:hAnsi="Times New Roman" w:cs="Times New Roman"/>
          <w:iCs/>
          <w:sz w:val="24"/>
          <w:szCs w:val="24"/>
          <w:lang w:val="hr-HR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hr-HR"/>
        </w:rPr>
        <w:t>- neutrošeni viškovi iz prethodnih godina u iznosu od 11.291,86 eura.</w:t>
      </w:r>
    </w:p>
    <w:p w14:paraId="1E0B00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00103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F162B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FE135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8827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FAD8A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CA747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5BF7F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B6809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5EC76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E84B7C9">
      <w:pPr>
        <w:spacing w:after="0" w:line="240" w:lineRule="auto"/>
        <w:jc w:val="center"/>
        <w:rPr>
          <w:rFonts w:ascii="Times New Roman" w:hAnsi="Times New Roman" w:cs="Times New Roman"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448B9C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Bilješke uz izvještaj o promjenama u vrijednosti i obujmu imovine i obveza</w:t>
      </w:r>
    </w:p>
    <w:p w14:paraId="3AF30B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bCs/>
          <w:color w:val="558ED5" w:themeColor="text2" w:themeTint="99"/>
          <w:sz w:val="28"/>
          <w:szCs w:val="28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( Obrazac P-VRIO  )</w:t>
      </w:r>
    </w:p>
    <w:p w14:paraId="2C9C56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35E7F9A">
      <w:pPr>
        <w:spacing w:after="0" w:line="240" w:lineRule="auto"/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Iznos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smanjenja 2.866,67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eura odnosi se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na prijenos nefinancijske imovine (sanitetsko vozilo) unutar istog proračuna ZZHMP Split.</w:t>
      </w:r>
    </w:p>
    <w:p w14:paraId="049D3A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C83E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20B94">
      <w:p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POPIS SUDSKIH SPOROVA U TOKU</w:t>
      </w:r>
    </w:p>
    <w:p w14:paraId="3130983E">
      <w:pPr>
        <w:jc w:val="both"/>
        <w:rPr>
          <w:sz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369"/>
        <w:gridCol w:w="3480"/>
        <w:gridCol w:w="2259"/>
      </w:tblGrid>
      <w:tr w14:paraId="49FB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D6129">
            <w:pPr>
              <w:pStyle w:val="5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PRIRODA SPORA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5252F">
            <w:pPr>
              <w:pStyle w:val="5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BR. SPOROVA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33E6">
            <w:pPr>
              <w:pStyle w:val="5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FINANCIJSKI UČINAK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3BE66">
            <w:pPr>
              <w:pStyle w:val="5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PROCIJENJENO VRIJEME</w:t>
            </w:r>
          </w:p>
        </w:tc>
      </w:tr>
      <w:tr w14:paraId="1C6D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57D1D">
            <w:pPr>
              <w:pStyle w:val="5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de-DE"/>
              </w:rPr>
              <w:t>Ostali sporovi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DA737">
            <w:pPr>
              <w:pStyle w:val="5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de-DE"/>
              </w:rPr>
              <w:t>16</w:t>
            </w:r>
          </w:p>
        </w:tc>
        <w:tc>
          <w:tcPr>
            <w:tcW w:w="3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4AF1E">
            <w:pPr>
              <w:pStyle w:val="5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de-DE"/>
              </w:rPr>
              <w:t>Potencijalni priljev u iznosu od 48.047,25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EC5FA">
            <w:pPr>
              <w:pStyle w:val="5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de-DE"/>
              </w:rPr>
              <w:t>2-5 god.</w:t>
            </w:r>
          </w:p>
        </w:tc>
      </w:tr>
      <w:tr w14:paraId="2748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8B460">
            <w:pPr>
              <w:pStyle w:val="5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de-DE"/>
              </w:rPr>
              <w:t>Sporovi radnika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C9818">
            <w:pPr>
              <w:pStyle w:val="5"/>
              <w:spacing w:line="360" w:lineRule="auto"/>
              <w:ind w:left="0"/>
              <w:jc w:val="both"/>
              <w:rPr>
                <w:rFonts w:hint="default" w:ascii="Times New Roman" w:hAnsi="Times New Roman" w:cs="Times New Roman"/>
                <w:b w:val="0"/>
                <w:i w:val="0"/>
                <w:lang w:val="hr-HR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lang w:val="hr-HR"/>
              </w:rPr>
              <w:t>42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3CD07">
            <w:pPr>
              <w:pStyle w:val="5"/>
              <w:spacing w:line="360" w:lineRule="auto"/>
              <w:ind w:left="0"/>
              <w:jc w:val="both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de-DE"/>
              </w:rPr>
              <w:t xml:space="preserve">Potencijalni odljev u iznosu od </w:t>
            </w:r>
            <w:r>
              <w:rPr>
                <w:rFonts w:hint="default" w:ascii="Times New Roman" w:hAnsi="Times New Roman" w:cs="Times New Roman"/>
                <w:b w:val="0"/>
                <w:i w:val="0"/>
                <w:lang w:val="hr-HR"/>
              </w:rPr>
              <w:t>6</w:t>
            </w:r>
            <w:r>
              <w:rPr>
                <w:rFonts w:ascii="Times New Roman" w:hAnsi="Times New Roman" w:cs="Times New Roman"/>
                <w:b w:val="0"/>
                <w:i w:val="0"/>
                <w:lang w:val="de-DE"/>
              </w:rPr>
              <w:t>0.000,00 eura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D4621">
            <w:pPr>
              <w:pStyle w:val="5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i w:val="0"/>
                <w:lang w:val="de-DE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de-DE"/>
              </w:rPr>
              <w:t>1-2 god.</w:t>
            </w:r>
          </w:p>
        </w:tc>
      </w:tr>
    </w:tbl>
    <w:p w14:paraId="1C2C65AB">
      <w:pPr>
        <w:pStyle w:val="5"/>
        <w:spacing w:line="360" w:lineRule="auto"/>
        <w:jc w:val="both"/>
        <w:rPr>
          <w:b w:val="0"/>
          <w:i w:val="0"/>
          <w:lang w:val="de-DE"/>
        </w:rPr>
      </w:pPr>
      <w:r>
        <w:rPr>
          <w:b w:val="0"/>
          <w:i w:val="0"/>
          <w:lang w:val="de-DE"/>
        </w:rPr>
        <w:t xml:space="preserve">                    </w:t>
      </w:r>
    </w:p>
    <w:p w14:paraId="6E45142E">
      <w:pPr>
        <w:pStyle w:val="5"/>
        <w:spacing w:line="360" w:lineRule="auto"/>
        <w:jc w:val="both"/>
        <w:rPr>
          <w:rFonts w:hint="default" w:ascii="Times New Roman" w:hAnsi="Times New Roman" w:cs="Times New Roman"/>
          <w:b w:val="0"/>
          <w:i w:val="0"/>
          <w:sz w:val="24"/>
          <w:szCs w:val="24"/>
          <w:lang w:val="hr-HR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  <w:t xml:space="preserve">Potencijalni odljev u iznosu od kn </w:t>
      </w:r>
      <w:r>
        <w:rPr>
          <w:rFonts w:hint="default" w:ascii="Times New Roman" w:hAnsi="Times New Roman" w:cs="Times New Roman"/>
          <w:b w:val="0"/>
          <w:i w:val="0"/>
          <w:sz w:val="24"/>
          <w:szCs w:val="24"/>
          <w:lang w:val="hr-HR"/>
        </w:rPr>
        <w:t>6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  <w:t xml:space="preserve">0.000,00 odnosi se na sporove radnika vezano za </w:t>
      </w:r>
      <w:r>
        <w:rPr>
          <w:rFonts w:hint="default" w:ascii="Times New Roman" w:hAnsi="Times New Roman" w:cs="Times New Roman"/>
          <w:b w:val="0"/>
          <w:i w:val="0"/>
          <w:sz w:val="24"/>
          <w:szCs w:val="24"/>
          <w:lang w:val="hr-HR"/>
        </w:rPr>
        <w:t xml:space="preserve">ne 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  <w:t xml:space="preserve"> isplat</w:t>
      </w:r>
      <w:r>
        <w:rPr>
          <w:rFonts w:hint="default" w:ascii="Times New Roman" w:hAnsi="Times New Roman" w:cs="Times New Roman"/>
          <w:b w:val="0"/>
          <w:i w:val="0"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de-DE"/>
        </w:rPr>
        <w:t xml:space="preserve"> plaće </w:t>
      </w:r>
      <w:r>
        <w:rPr>
          <w:rFonts w:hint="default" w:ascii="Times New Roman" w:hAnsi="Times New Roman" w:cs="Times New Roman"/>
          <w:b w:val="0"/>
          <w:i w:val="0"/>
          <w:sz w:val="24"/>
          <w:szCs w:val="24"/>
          <w:lang w:val="hr-HR"/>
        </w:rPr>
        <w:t>za prekovremeni rad iz 2018. godine.</w:t>
      </w:r>
    </w:p>
    <w:p w14:paraId="5EE139A6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D614A"/>
    <w:multiLevelType w:val="multilevel"/>
    <w:tmpl w:val="3AED614A"/>
    <w:lvl w:ilvl="0" w:tentative="0">
      <w:start w:val="5"/>
      <w:numFmt w:val="bullet"/>
      <w:lvlText w:val="-"/>
      <w:lvlJc w:val="left"/>
      <w:pPr>
        <w:ind w:left="4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55"/>
    <w:rsid w:val="0001569F"/>
    <w:rsid w:val="00047735"/>
    <w:rsid w:val="0005277B"/>
    <w:rsid w:val="00066E58"/>
    <w:rsid w:val="000670F8"/>
    <w:rsid w:val="0007632B"/>
    <w:rsid w:val="000834DA"/>
    <w:rsid w:val="0009724A"/>
    <w:rsid w:val="000A3875"/>
    <w:rsid w:val="000C3E66"/>
    <w:rsid w:val="000D7E61"/>
    <w:rsid w:val="000E3F5F"/>
    <w:rsid w:val="00143C9E"/>
    <w:rsid w:val="001708EF"/>
    <w:rsid w:val="00175814"/>
    <w:rsid w:val="00175D6C"/>
    <w:rsid w:val="00180602"/>
    <w:rsid w:val="00180654"/>
    <w:rsid w:val="0018443C"/>
    <w:rsid w:val="001866CF"/>
    <w:rsid w:val="00193B9B"/>
    <w:rsid w:val="00193DE4"/>
    <w:rsid w:val="001A435D"/>
    <w:rsid w:val="001B0342"/>
    <w:rsid w:val="001B0CD8"/>
    <w:rsid w:val="001F49D0"/>
    <w:rsid w:val="00203652"/>
    <w:rsid w:val="002478F7"/>
    <w:rsid w:val="00256B58"/>
    <w:rsid w:val="002647A6"/>
    <w:rsid w:val="00271B0C"/>
    <w:rsid w:val="002769D7"/>
    <w:rsid w:val="00283EE1"/>
    <w:rsid w:val="0029005D"/>
    <w:rsid w:val="0029039A"/>
    <w:rsid w:val="00292F62"/>
    <w:rsid w:val="002A62E2"/>
    <w:rsid w:val="002E29E7"/>
    <w:rsid w:val="00310500"/>
    <w:rsid w:val="0031151C"/>
    <w:rsid w:val="003115B8"/>
    <w:rsid w:val="00312E22"/>
    <w:rsid w:val="003245B4"/>
    <w:rsid w:val="00332699"/>
    <w:rsid w:val="00357BCB"/>
    <w:rsid w:val="00365647"/>
    <w:rsid w:val="003665E9"/>
    <w:rsid w:val="003902F5"/>
    <w:rsid w:val="003B0654"/>
    <w:rsid w:val="003B4962"/>
    <w:rsid w:val="003C7732"/>
    <w:rsid w:val="003D5AAF"/>
    <w:rsid w:val="003D5D9F"/>
    <w:rsid w:val="003E4156"/>
    <w:rsid w:val="003F185A"/>
    <w:rsid w:val="00416061"/>
    <w:rsid w:val="00454B30"/>
    <w:rsid w:val="0047668F"/>
    <w:rsid w:val="004B7714"/>
    <w:rsid w:val="004D52DD"/>
    <w:rsid w:val="004E48D0"/>
    <w:rsid w:val="00514289"/>
    <w:rsid w:val="00543D6E"/>
    <w:rsid w:val="005569A9"/>
    <w:rsid w:val="005612AE"/>
    <w:rsid w:val="005722BF"/>
    <w:rsid w:val="00582756"/>
    <w:rsid w:val="00584F57"/>
    <w:rsid w:val="00585EB2"/>
    <w:rsid w:val="0059731A"/>
    <w:rsid w:val="005A7BBC"/>
    <w:rsid w:val="005B31E8"/>
    <w:rsid w:val="005C495D"/>
    <w:rsid w:val="005D0444"/>
    <w:rsid w:val="005D2493"/>
    <w:rsid w:val="005D2E1D"/>
    <w:rsid w:val="00615B9A"/>
    <w:rsid w:val="0062464A"/>
    <w:rsid w:val="00642B0C"/>
    <w:rsid w:val="00661E70"/>
    <w:rsid w:val="00666258"/>
    <w:rsid w:val="00693A48"/>
    <w:rsid w:val="006C5988"/>
    <w:rsid w:val="006E50B0"/>
    <w:rsid w:val="006F74F8"/>
    <w:rsid w:val="0071047A"/>
    <w:rsid w:val="00712267"/>
    <w:rsid w:val="0071260D"/>
    <w:rsid w:val="007145C1"/>
    <w:rsid w:val="00722B6B"/>
    <w:rsid w:val="007516D9"/>
    <w:rsid w:val="00771C31"/>
    <w:rsid w:val="00783BE0"/>
    <w:rsid w:val="007874C4"/>
    <w:rsid w:val="007A3427"/>
    <w:rsid w:val="007B018B"/>
    <w:rsid w:val="007C32A1"/>
    <w:rsid w:val="007F1DDF"/>
    <w:rsid w:val="007F330C"/>
    <w:rsid w:val="00822391"/>
    <w:rsid w:val="00824BB8"/>
    <w:rsid w:val="0083406C"/>
    <w:rsid w:val="008461A5"/>
    <w:rsid w:val="0085124C"/>
    <w:rsid w:val="00872343"/>
    <w:rsid w:val="008B6D0D"/>
    <w:rsid w:val="008B771E"/>
    <w:rsid w:val="008E5B4E"/>
    <w:rsid w:val="00933606"/>
    <w:rsid w:val="00977BED"/>
    <w:rsid w:val="00991A7D"/>
    <w:rsid w:val="009A64D6"/>
    <w:rsid w:val="009F2B16"/>
    <w:rsid w:val="00A00CDC"/>
    <w:rsid w:val="00A30E56"/>
    <w:rsid w:val="00A4124B"/>
    <w:rsid w:val="00A75A63"/>
    <w:rsid w:val="00A82CCB"/>
    <w:rsid w:val="00A8616D"/>
    <w:rsid w:val="00A9023F"/>
    <w:rsid w:val="00AC2171"/>
    <w:rsid w:val="00AF36C5"/>
    <w:rsid w:val="00AF5F70"/>
    <w:rsid w:val="00B016E8"/>
    <w:rsid w:val="00B01C70"/>
    <w:rsid w:val="00B05526"/>
    <w:rsid w:val="00B1462C"/>
    <w:rsid w:val="00B15A50"/>
    <w:rsid w:val="00B42297"/>
    <w:rsid w:val="00B43742"/>
    <w:rsid w:val="00B621EB"/>
    <w:rsid w:val="00BB0D10"/>
    <w:rsid w:val="00BB59C8"/>
    <w:rsid w:val="00BC2426"/>
    <w:rsid w:val="00BF4984"/>
    <w:rsid w:val="00C01C97"/>
    <w:rsid w:val="00C049F3"/>
    <w:rsid w:val="00C131EC"/>
    <w:rsid w:val="00C344CE"/>
    <w:rsid w:val="00C579FA"/>
    <w:rsid w:val="00C70FB9"/>
    <w:rsid w:val="00C76655"/>
    <w:rsid w:val="00C97A25"/>
    <w:rsid w:val="00CB7203"/>
    <w:rsid w:val="00CC6E30"/>
    <w:rsid w:val="00D35DAF"/>
    <w:rsid w:val="00D72FE9"/>
    <w:rsid w:val="00DA28CC"/>
    <w:rsid w:val="00DB4FDE"/>
    <w:rsid w:val="00DC694C"/>
    <w:rsid w:val="00DC7373"/>
    <w:rsid w:val="00DE443F"/>
    <w:rsid w:val="00E0109F"/>
    <w:rsid w:val="00E34BB5"/>
    <w:rsid w:val="00E4222A"/>
    <w:rsid w:val="00E4767F"/>
    <w:rsid w:val="00E51010"/>
    <w:rsid w:val="00E5709B"/>
    <w:rsid w:val="00E64F48"/>
    <w:rsid w:val="00E86071"/>
    <w:rsid w:val="00E9783F"/>
    <w:rsid w:val="00ED610D"/>
    <w:rsid w:val="00F01D94"/>
    <w:rsid w:val="00F04FB5"/>
    <w:rsid w:val="00F12A06"/>
    <w:rsid w:val="00F17EF9"/>
    <w:rsid w:val="00F25A73"/>
    <w:rsid w:val="00F44481"/>
    <w:rsid w:val="00F448BF"/>
    <w:rsid w:val="00F548CF"/>
    <w:rsid w:val="00F65641"/>
    <w:rsid w:val="00FC46E1"/>
    <w:rsid w:val="00FF1547"/>
    <w:rsid w:val="00FF5307"/>
    <w:rsid w:val="07807889"/>
    <w:rsid w:val="196F637B"/>
    <w:rsid w:val="1BE03456"/>
    <w:rsid w:val="26256CBA"/>
    <w:rsid w:val="26D240E8"/>
    <w:rsid w:val="33BC0615"/>
    <w:rsid w:val="474A4205"/>
    <w:rsid w:val="5C515082"/>
    <w:rsid w:val="604C331C"/>
    <w:rsid w:val="62407798"/>
    <w:rsid w:val="63877DE7"/>
    <w:rsid w:val="751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Indent 2"/>
    <w:basedOn w:val="1"/>
    <w:link w:val="12"/>
    <w:semiHidden/>
    <w:unhideWhenUsed/>
    <w:qFormat/>
    <w:uiPriority w:val="0"/>
    <w:pPr>
      <w:spacing w:after="0" w:line="240" w:lineRule="auto"/>
      <w:ind w:left="360"/>
    </w:pPr>
    <w:rPr>
      <w:b/>
      <w:i/>
      <w:sz w:val="28"/>
      <w:lang w:val="en-US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2">
    <w:name w:val="Tijelo teksta - uvlaka 2 Char"/>
    <w:basedOn w:val="2"/>
    <w:link w:val="5"/>
    <w:semiHidden/>
    <w:qFormat/>
    <w:locked/>
    <w:uiPriority w:val="0"/>
    <w:rPr>
      <w:b/>
      <w:i/>
      <w:sz w:val="28"/>
      <w:lang w:val="en-US"/>
    </w:rPr>
  </w:style>
  <w:style w:type="character" w:customStyle="1" w:styleId="13">
    <w:name w:val="Tijelo teksta - uvlaka 2 Char1"/>
    <w:basedOn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FD8C-89E1-475E-91F7-FA7ADE590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T-HT</Company>
  <Pages>5</Pages>
  <Words>835</Words>
  <Characters>4765</Characters>
  <Lines>39</Lines>
  <Paragraphs>11</Paragraphs>
  <TotalTime>227</TotalTime>
  <ScaleCrop>false</ScaleCrop>
  <LinksUpToDate>false</LinksUpToDate>
  <CharactersWithSpaces>5589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2025-01-30T07:15:00Z</dcterms:created>
  <dc:creator>Domagoj</dc:creator>
  <cp:lastModifiedBy>Korisnik531</cp:lastModifiedBy>
  <cp:lastPrinted>2025-01-30T10:13:00Z</cp:lastPrinted>
  <dcterms:modified xsi:type="dcterms:W3CDTF">2025-01-31T08:22:16Z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6A7977BC4F2D46898EECFC3B64E2F955_12</vt:lpwstr>
  </property>
</Properties>
</file>