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0332" w14:textId="77777777" w:rsidR="00445A51" w:rsidRDefault="00445A51">
      <w:pPr>
        <w:spacing w:after="83" w:line="259" w:lineRule="auto"/>
        <w:ind w:left="0" w:firstLine="0"/>
        <w:jc w:val="left"/>
      </w:pPr>
    </w:p>
    <w:tbl>
      <w:tblPr>
        <w:tblStyle w:val="TableGrid"/>
        <w:tblW w:w="9683" w:type="dxa"/>
        <w:tblInd w:w="-54" w:type="dxa"/>
        <w:tblCellMar>
          <w:top w:w="26" w:type="dxa"/>
          <w:bottom w:w="26" w:type="dxa"/>
          <w:right w:w="1" w:type="dxa"/>
        </w:tblCellMar>
        <w:tblLook w:val="04A0" w:firstRow="1" w:lastRow="0" w:firstColumn="1" w:lastColumn="0" w:noHBand="0" w:noVBand="1"/>
      </w:tblPr>
      <w:tblGrid>
        <w:gridCol w:w="3060"/>
        <w:gridCol w:w="6623"/>
      </w:tblGrid>
      <w:tr w:rsidR="00445A51" w14:paraId="13C14F77" w14:textId="77777777">
        <w:trPr>
          <w:trHeight w:val="2367"/>
        </w:trPr>
        <w:tc>
          <w:tcPr>
            <w:tcW w:w="9683" w:type="dxa"/>
            <w:gridSpan w:val="2"/>
            <w:tcBorders>
              <w:top w:val="single" w:sz="8" w:space="0" w:color="181717"/>
              <w:left w:val="single" w:sz="8" w:space="0" w:color="181717"/>
              <w:bottom w:val="single" w:sz="4" w:space="0" w:color="181717"/>
              <w:right w:val="single" w:sz="8" w:space="0" w:color="181717"/>
            </w:tcBorders>
          </w:tcPr>
          <w:p w14:paraId="29BC858F" w14:textId="77777777" w:rsidR="00445A51" w:rsidRDefault="00000000">
            <w:pPr>
              <w:pStyle w:val="ListParagraph"/>
              <w:ind w:left="0" w:firstLine="0"/>
              <w:rPr>
                <w:rFonts w:ascii="Arial" w:hAnsi="Arial" w:cs="Arial"/>
                <w:b/>
                <w:bCs/>
                <w:color w:val="0000FF"/>
              </w:rPr>
            </w:pPr>
            <w:r>
              <w:rPr>
                <w:rFonts w:ascii="Arial" w:hAnsi="Arial" w:cs="Arial"/>
                <w:b/>
                <w:bCs/>
                <w:color w:val="0000FF"/>
              </w:rPr>
              <w:t xml:space="preserve">NARUČITELJ: </w:t>
            </w:r>
          </w:p>
          <w:p w14:paraId="405C841C" w14:textId="77777777" w:rsidR="00445A51" w:rsidRDefault="00445A51">
            <w:pPr>
              <w:pStyle w:val="ListParagraph"/>
              <w:ind w:left="0" w:firstLine="0"/>
              <w:rPr>
                <w:rFonts w:ascii="Arial" w:hAnsi="Arial" w:cs="Arial"/>
                <w:b/>
                <w:bCs/>
                <w:color w:val="0000FF"/>
              </w:rPr>
            </w:pPr>
          </w:p>
          <w:p w14:paraId="3844F2C0" w14:textId="77777777" w:rsidR="00445A51" w:rsidRDefault="00000000">
            <w:pPr>
              <w:pStyle w:val="ListParagraph"/>
              <w:ind w:left="0" w:firstLine="0"/>
              <w:rPr>
                <w:rFonts w:ascii="Arial" w:hAnsi="Arial" w:cs="Arial"/>
                <w:b/>
                <w:bCs/>
                <w:i/>
                <w:iCs/>
                <w:color w:val="0000FF"/>
              </w:rPr>
            </w:pPr>
            <w:r>
              <w:rPr>
                <w:rFonts w:ascii="Arial" w:hAnsi="Arial" w:cs="Arial"/>
                <w:b/>
                <w:bCs/>
                <w:i/>
                <w:iCs/>
                <w:color w:val="0000FF"/>
              </w:rPr>
              <w:t>DOM ZA STARIJE OSOBE SPLIT</w:t>
            </w:r>
          </w:p>
          <w:p w14:paraId="48217BA7" w14:textId="77777777" w:rsidR="00445A51" w:rsidRDefault="00000000">
            <w:pPr>
              <w:pStyle w:val="ListParagraph"/>
              <w:ind w:left="0" w:firstLine="0"/>
              <w:rPr>
                <w:rFonts w:ascii="Arial" w:hAnsi="Arial" w:cs="Arial"/>
                <w:b/>
                <w:bCs/>
                <w:i/>
                <w:iCs/>
                <w:color w:val="0000FF"/>
              </w:rPr>
            </w:pPr>
            <w:r>
              <w:rPr>
                <w:rFonts w:ascii="Arial" w:hAnsi="Arial" w:cs="Arial"/>
                <w:b/>
                <w:bCs/>
                <w:i/>
                <w:iCs/>
                <w:color w:val="0000FF"/>
              </w:rPr>
              <w:t>Ivana pl. Zajca 2,21000 Split</w:t>
            </w:r>
          </w:p>
          <w:p w14:paraId="47918F95" w14:textId="77777777" w:rsidR="00445A51" w:rsidRDefault="00000000">
            <w:pPr>
              <w:pStyle w:val="ListParagraph"/>
              <w:ind w:left="0" w:firstLine="0"/>
              <w:rPr>
                <w:rFonts w:ascii="Arial" w:hAnsi="Arial" w:cs="Arial"/>
                <w:b/>
                <w:bCs/>
                <w:i/>
                <w:iCs/>
                <w:color w:val="0000FF"/>
              </w:rPr>
            </w:pPr>
            <w:r>
              <w:rPr>
                <w:rFonts w:ascii="Arial" w:hAnsi="Arial" w:cs="Arial"/>
                <w:b/>
                <w:bCs/>
                <w:i/>
                <w:iCs/>
                <w:color w:val="0000FF"/>
              </w:rPr>
              <w:t>OIB:69403366669</w:t>
            </w:r>
          </w:p>
          <w:p w14:paraId="363E1FC5" w14:textId="51C1F618" w:rsidR="00445A51" w:rsidRDefault="00000000">
            <w:pPr>
              <w:spacing w:line="276" w:lineRule="auto"/>
              <w:rPr>
                <w:rFonts w:eastAsia="Calibri"/>
                <w:b/>
                <w:color w:val="0000FF"/>
              </w:rPr>
            </w:pPr>
            <w:r>
              <w:rPr>
                <w:rFonts w:eastAsia="Calibri"/>
                <w:b/>
                <w:color w:val="0000FF"/>
              </w:rPr>
              <w:t>KLASA: 406-03/25-05/4</w:t>
            </w:r>
            <w:r w:rsidR="00E67C0D">
              <w:rPr>
                <w:rFonts w:eastAsia="Calibri"/>
                <w:b/>
                <w:color w:val="0000FF"/>
              </w:rPr>
              <w:t>9</w:t>
            </w:r>
          </w:p>
          <w:p w14:paraId="08559DD7" w14:textId="77777777" w:rsidR="00445A51" w:rsidRDefault="00000000">
            <w:pPr>
              <w:spacing w:line="276" w:lineRule="auto"/>
              <w:rPr>
                <w:rFonts w:eastAsia="Calibri"/>
                <w:b/>
                <w:color w:val="0000FF"/>
              </w:rPr>
            </w:pPr>
            <w:r>
              <w:rPr>
                <w:rFonts w:eastAsia="Calibri"/>
                <w:b/>
                <w:color w:val="0000FF"/>
              </w:rPr>
              <w:t>URBROJ: 2181-531-01-25-3</w:t>
            </w:r>
          </w:p>
          <w:p w14:paraId="5794E957" w14:textId="62BE2D57" w:rsidR="00445A51" w:rsidRDefault="00000000">
            <w:pPr>
              <w:spacing w:line="276" w:lineRule="auto"/>
              <w:rPr>
                <w:rFonts w:eastAsia="Calibri"/>
                <w:b/>
                <w:bCs/>
                <w:i/>
                <w:iCs/>
                <w:color w:val="0000FF"/>
                <w:u w:val="single"/>
              </w:rPr>
            </w:pPr>
            <w:r>
              <w:rPr>
                <w:rFonts w:eastAsia="Calibri"/>
                <w:b/>
                <w:bCs/>
                <w:i/>
                <w:iCs/>
                <w:color w:val="0000FF"/>
                <w:u w:val="single"/>
              </w:rPr>
              <w:t xml:space="preserve">Split, </w:t>
            </w:r>
            <w:r w:rsidR="005E0E34">
              <w:rPr>
                <w:rFonts w:eastAsia="Calibri"/>
                <w:b/>
                <w:bCs/>
                <w:i/>
                <w:iCs/>
                <w:color w:val="0000FF"/>
                <w:u w:val="single"/>
              </w:rPr>
              <w:t>16</w:t>
            </w:r>
            <w:r w:rsidR="002131A3">
              <w:rPr>
                <w:rFonts w:eastAsia="Calibri"/>
                <w:b/>
                <w:bCs/>
                <w:i/>
                <w:iCs/>
                <w:color w:val="0000FF"/>
                <w:u w:val="single"/>
              </w:rPr>
              <w:t>.12</w:t>
            </w:r>
            <w:r>
              <w:rPr>
                <w:rFonts w:eastAsia="Calibri"/>
                <w:b/>
                <w:bCs/>
                <w:i/>
                <w:iCs/>
                <w:color w:val="0000FF"/>
                <w:u w:val="single"/>
              </w:rPr>
              <w:t>.2025.godine</w:t>
            </w:r>
          </w:p>
          <w:p w14:paraId="06C89D34" w14:textId="77777777" w:rsidR="00445A51" w:rsidRDefault="00445A51">
            <w:pPr>
              <w:pStyle w:val="Standard"/>
              <w:rPr>
                <w:rFonts w:cs="Times New Roman"/>
                <w:sz w:val="22"/>
                <w:szCs w:val="22"/>
              </w:rPr>
            </w:pPr>
          </w:p>
          <w:p w14:paraId="59438B43" w14:textId="77777777" w:rsidR="00445A51" w:rsidRDefault="00000000">
            <w:pPr>
              <w:pStyle w:val="Standard"/>
              <w:jc w:val="center"/>
              <w:rPr>
                <w:rFonts w:cs="Times New Roman"/>
                <w:b/>
                <w:sz w:val="22"/>
                <w:szCs w:val="22"/>
              </w:rPr>
            </w:pPr>
            <w:r>
              <w:rPr>
                <w:rFonts w:cs="Times New Roman"/>
                <w:b/>
                <w:sz w:val="22"/>
                <w:szCs w:val="22"/>
              </w:rPr>
              <w:t>JEDNOSTAVNA NABAVA</w:t>
            </w:r>
          </w:p>
          <w:p w14:paraId="0F426C19" w14:textId="77777777" w:rsidR="00445A51" w:rsidRDefault="00000000">
            <w:pPr>
              <w:pStyle w:val="Standard"/>
              <w:jc w:val="center"/>
              <w:rPr>
                <w:rFonts w:cs="Times New Roman"/>
                <w:b/>
                <w:sz w:val="22"/>
                <w:szCs w:val="22"/>
              </w:rPr>
            </w:pPr>
            <w:r>
              <w:rPr>
                <w:rFonts w:cs="Times New Roman"/>
                <w:b/>
                <w:sz w:val="22"/>
                <w:szCs w:val="22"/>
              </w:rPr>
              <w:t>temeljem članka 15. Zakona o javnoj nabavi (NN, 120/2016, 114/2022)</w:t>
            </w:r>
          </w:p>
          <w:p w14:paraId="0239BDFF" w14:textId="77777777" w:rsidR="00445A51" w:rsidRDefault="00445A51">
            <w:pPr>
              <w:pStyle w:val="Standard"/>
              <w:jc w:val="center"/>
              <w:rPr>
                <w:rFonts w:cs="Times New Roman"/>
                <w:b/>
                <w:sz w:val="22"/>
                <w:szCs w:val="22"/>
              </w:rPr>
            </w:pPr>
          </w:p>
          <w:p w14:paraId="7C3A9AFA" w14:textId="77777777" w:rsidR="00445A51" w:rsidRDefault="00000000">
            <w:pPr>
              <w:pStyle w:val="Standard"/>
              <w:jc w:val="center"/>
              <w:rPr>
                <w:rFonts w:cs="Times New Roman"/>
                <w:b/>
                <w:sz w:val="22"/>
                <w:szCs w:val="22"/>
              </w:rPr>
            </w:pPr>
            <w:r>
              <w:rPr>
                <w:rFonts w:cs="Times New Roman"/>
                <w:b/>
                <w:sz w:val="22"/>
                <w:szCs w:val="22"/>
              </w:rPr>
              <w:t>DOKUMENTACIJA O NABAVI ZA PREDMET NABAVE:</w:t>
            </w:r>
          </w:p>
          <w:p w14:paraId="6F5863A1" w14:textId="77777777" w:rsidR="00445A51" w:rsidRDefault="00445A51">
            <w:pPr>
              <w:pStyle w:val="Standard"/>
              <w:jc w:val="center"/>
              <w:rPr>
                <w:rFonts w:cs="Times New Roman"/>
                <w:b/>
                <w:color w:val="0070C0"/>
                <w:sz w:val="22"/>
                <w:szCs w:val="22"/>
              </w:rPr>
            </w:pPr>
          </w:p>
          <w:p w14:paraId="2CF2FD2B" w14:textId="484235CF" w:rsidR="00445A51" w:rsidRDefault="00000000">
            <w:pPr>
              <w:pStyle w:val="Standard"/>
              <w:jc w:val="center"/>
              <w:rPr>
                <w:rFonts w:cs="Times New Roman"/>
                <w:b/>
                <w:color w:val="0070C0"/>
                <w:u w:val="single"/>
              </w:rPr>
            </w:pPr>
            <w:r>
              <w:rPr>
                <w:rFonts w:cs="Times New Roman"/>
                <w:b/>
                <w:color w:val="0070C0"/>
                <w:u w:val="single"/>
              </w:rPr>
              <w:t xml:space="preserve">Nabava </w:t>
            </w:r>
            <w:r w:rsidR="00E67C0D">
              <w:rPr>
                <w:rFonts w:cs="Times New Roman"/>
                <w:b/>
                <w:color w:val="0070C0"/>
                <w:u w:val="single"/>
              </w:rPr>
              <w:t xml:space="preserve">papirne konfekcije </w:t>
            </w:r>
            <w:r>
              <w:rPr>
                <w:rFonts w:cs="Times New Roman"/>
                <w:b/>
                <w:color w:val="0070C0"/>
                <w:u w:val="single"/>
              </w:rPr>
              <w:t>za 2026.god.</w:t>
            </w:r>
          </w:p>
          <w:p w14:paraId="00E720D5" w14:textId="77777777" w:rsidR="00445A51" w:rsidRDefault="00445A51">
            <w:pPr>
              <w:pStyle w:val="Standard"/>
              <w:jc w:val="center"/>
              <w:rPr>
                <w:rFonts w:cs="Times New Roman"/>
                <w:b/>
                <w:sz w:val="22"/>
                <w:szCs w:val="22"/>
              </w:rPr>
            </w:pPr>
          </w:p>
          <w:p w14:paraId="3DE3466C" w14:textId="77777777" w:rsidR="00445A51" w:rsidRDefault="00445A51">
            <w:pPr>
              <w:pStyle w:val="Standard"/>
              <w:jc w:val="both"/>
              <w:rPr>
                <w:rFonts w:cs="Times New Roman"/>
                <w:sz w:val="22"/>
                <w:szCs w:val="22"/>
              </w:rPr>
            </w:pPr>
          </w:p>
          <w:p w14:paraId="53117C2B" w14:textId="77777777" w:rsidR="00445A51" w:rsidRDefault="00445A51">
            <w:pPr>
              <w:pStyle w:val="Standard"/>
              <w:jc w:val="center"/>
              <w:rPr>
                <w:rFonts w:cs="Times New Roman"/>
                <w:b/>
                <w:sz w:val="22"/>
                <w:szCs w:val="22"/>
              </w:rPr>
            </w:pPr>
          </w:p>
          <w:p w14:paraId="60D5683E" w14:textId="77777777" w:rsidR="00445A51" w:rsidRDefault="00445A51">
            <w:pPr>
              <w:pStyle w:val="Standard"/>
              <w:jc w:val="center"/>
              <w:rPr>
                <w:rFonts w:cs="Times New Roman"/>
                <w:b/>
                <w:sz w:val="22"/>
                <w:szCs w:val="22"/>
              </w:rPr>
            </w:pPr>
          </w:p>
          <w:p w14:paraId="760CFE91" w14:textId="77777777" w:rsidR="00445A51" w:rsidRDefault="00000000">
            <w:pPr>
              <w:pStyle w:val="Standard"/>
              <w:jc w:val="center"/>
              <w:rPr>
                <w:rFonts w:ascii="Bookman Old Style" w:hAnsi="Bookman Old Style" w:cs="Bookman Old Style"/>
                <w:b/>
                <w:sz w:val="22"/>
                <w:szCs w:val="22"/>
              </w:rPr>
            </w:pPr>
            <w:r>
              <w:rPr>
                <w:rFonts w:ascii="Bookman Old Style" w:hAnsi="Bookman Old Style" w:cs="Bookman Old Style"/>
                <w:b/>
                <w:sz w:val="22"/>
                <w:szCs w:val="22"/>
              </w:rPr>
              <w:t>POZIV NA DOSTAVU PONUDA</w:t>
            </w:r>
          </w:p>
          <w:p w14:paraId="6B8EFE07" w14:textId="77777777" w:rsidR="00445A51" w:rsidRDefault="00445A51">
            <w:pPr>
              <w:pStyle w:val="Standard"/>
              <w:jc w:val="center"/>
              <w:rPr>
                <w:rFonts w:ascii="Bookman Old Style" w:hAnsi="Bookman Old Style" w:cs="Bookman Old Style"/>
                <w:b/>
                <w:sz w:val="22"/>
                <w:szCs w:val="22"/>
              </w:rPr>
            </w:pPr>
          </w:p>
          <w:p w14:paraId="67B44E66" w14:textId="2D63428B" w:rsidR="00445A51" w:rsidRDefault="00000000">
            <w:pPr>
              <w:pStyle w:val="Standard"/>
              <w:jc w:val="center"/>
              <w:rPr>
                <w:rFonts w:cs="Times New Roman"/>
                <w:b/>
                <w:color w:val="0070C0"/>
                <w:u w:val="single"/>
              </w:rPr>
            </w:pPr>
            <w:r>
              <w:rPr>
                <w:rFonts w:cs="Times New Roman"/>
                <w:b/>
                <w:color w:val="0070C0"/>
                <w:u w:val="single"/>
              </w:rPr>
              <w:t xml:space="preserve">Evidencijski broj nabave: EJN </w:t>
            </w:r>
            <w:r w:rsidR="00E67C0D">
              <w:rPr>
                <w:rFonts w:cs="Times New Roman"/>
                <w:b/>
                <w:color w:val="0070C0"/>
                <w:u w:val="single"/>
              </w:rPr>
              <w:t>77</w:t>
            </w:r>
            <w:r>
              <w:rPr>
                <w:rFonts w:cs="Times New Roman"/>
                <w:b/>
                <w:color w:val="0070C0"/>
                <w:u w:val="single"/>
              </w:rPr>
              <w:t>/2025</w:t>
            </w:r>
          </w:p>
          <w:p w14:paraId="0B3082A3" w14:textId="77777777" w:rsidR="00445A51" w:rsidRDefault="00445A51">
            <w:pPr>
              <w:spacing w:line="276" w:lineRule="auto"/>
              <w:rPr>
                <w:rFonts w:eastAsia="Calibri"/>
              </w:rPr>
            </w:pPr>
          </w:p>
          <w:p w14:paraId="5F106A0D" w14:textId="77777777" w:rsidR="00445A51" w:rsidRDefault="00445A51">
            <w:pPr>
              <w:pStyle w:val="ListParagraph"/>
              <w:ind w:left="0" w:firstLine="0"/>
              <w:rPr>
                <w:rFonts w:ascii="Arial" w:hAnsi="Arial" w:cs="Arial"/>
              </w:rPr>
            </w:pPr>
          </w:p>
        </w:tc>
      </w:tr>
      <w:tr w:rsidR="00445A51" w14:paraId="22C7EB2C" w14:textId="77777777">
        <w:trPr>
          <w:trHeight w:val="4159"/>
        </w:trPr>
        <w:tc>
          <w:tcPr>
            <w:tcW w:w="9683" w:type="dxa"/>
            <w:gridSpan w:val="2"/>
            <w:tcBorders>
              <w:top w:val="single" w:sz="4" w:space="0" w:color="181717"/>
              <w:left w:val="single" w:sz="8" w:space="0" w:color="181717"/>
              <w:right w:val="single" w:sz="8" w:space="0" w:color="181717"/>
            </w:tcBorders>
          </w:tcPr>
          <w:p w14:paraId="7A123A6E" w14:textId="77777777" w:rsidR="00445A51" w:rsidRDefault="00000000">
            <w:pPr>
              <w:spacing w:after="0" w:line="259" w:lineRule="auto"/>
              <w:ind w:left="80" w:firstLine="0"/>
              <w:jc w:val="left"/>
              <w:rPr>
                <w:b/>
              </w:rPr>
            </w:pPr>
            <w:r>
              <w:rPr>
                <w:b/>
              </w:rPr>
              <w:t xml:space="preserve">1. </w:t>
            </w:r>
          </w:p>
          <w:p w14:paraId="285882A0" w14:textId="77777777" w:rsidR="00445A51" w:rsidRDefault="00445A51">
            <w:pPr>
              <w:spacing w:after="0" w:line="259" w:lineRule="auto"/>
              <w:ind w:left="80" w:firstLine="0"/>
              <w:jc w:val="left"/>
              <w:rPr>
                <w:b/>
              </w:rPr>
            </w:pPr>
          </w:p>
          <w:p w14:paraId="669806EB" w14:textId="77777777" w:rsidR="00445A51" w:rsidRDefault="00000000">
            <w:pPr>
              <w:spacing w:after="138" w:line="259" w:lineRule="auto"/>
              <w:ind w:left="80" w:firstLine="0"/>
              <w:jc w:val="left"/>
            </w:pPr>
            <w:r>
              <w:t>Poštovani,</w:t>
            </w:r>
          </w:p>
          <w:p w14:paraId="714E5A8E" w14:textId="0225580B" w:rsidR="00445A51" w:rsidRDefault="00000000">
            <w:pPr>
              <w:spacing w:after="0" w:line="259" w:lineRule="auto"/>
              <w:ind w:left="80" w:firstLine="0"/>
            </w:pPr>
            <w:r>
              <w:t>Dom za starije osobe Split pokrenuo je</w:t>
            </w:r>
            <w:r>
              <w:rPr>
                <w:b/>
                <w:bCs/>
                <w:i/>
                <w:iCs/>
                <w:u w:val="single"/>
              </w:rPr>
              <w:t xml:space="preserve"> nabavu </w:t>
            </w:r>
            <w:r w:rsidR="00E67C0D">
              <w:rPr>
                <w:b/>
                <w:bCs/>
                <w:i/>
                <w:iCs/>
                <w:u w:val="single"/>
              </w:rPr>
              <w:t>papirne konfekcije</w:t>
            </w:r>
            <w:r w:rsidR="005E0E34">
              <w:rPr>
                <w:b/>
                <w:bCs/>
                <w:i/>
                <w:iCs/>
                <w:u w:val="single"/>
              </w:rPr>
              <w:t xml:space="preserve"> </w:t>
            </w:r>
            <w:r>
              <w:rPr>
                <w:b/>
                <w:bCs/>
                <w:i/>
                <w:iCs/>
                <w:u w:val="single"/>
              </w:rPr>
              <w:t>za 2026.godinu</w:t>
            </w:r>
            <w:r>
              <w:t>. Zakon o javnoj nabavi (NN broj: 120/2016 i 114722), sukladno članku 12. i 15., ne primjenjuje se za nabavu robe i usluga procijenjene vrijednosti bez PDV-a do 26.540,00 eura, odnosno za nabavu radova do 66.360,00 eura. Stoga na ovaj postupak nabave ne primjenjuje se niti postupak pravne zaštite pred Državnom komisijom za kontrolu postupaka javne nabave.</w:t>
            </w:r>
          </w:p>
          <w:p w14:paraId="65F4FD15" w14:textId="77777777" w:rsidR="00445A51" w:rsidRDefault="00445A51">
            <w:pPr>
              <w:spacing w:after="0" w:line="259" w:lineRule="auto"/>
              <w:ind w:left="80" w:firstLine="0"/>
            </w:pPr>
          </w:p>
          <w:p w14:paraId="029E0671" w14:textId="77777777" w:rsidR="00445A51" w:rsidRDefault="00000000">
            <w:r>
              <w:rPr>
                <w:b/>
                <w:bCs/>
              </w:rPr>
              <w:t>Vrsta ugovora o javnoj nabavi:</w:t>
            </w:r>
            <w:r>
              <w:t xml:space="preserve"> ugovor o javnoj nabavi roba.</w:t>
            </w:r>
          </w:p>
          <w:p w14:paraId="0369E18A" w14:textId="77777777" w:rsidR="00445A51" w:rsidRDefault="00000000">
            <w:pPr>
              <w:autoSpaceDE w:val="0"/>
              <w:autoSpaceDN w:val="0"/>
              <w:adjustRightInd w:val="0"/>
            </w:pPr>
            <w:r>
              <w:t xml:space="preserve">Dopušteno je nuditi isključivo cjelokupan predmet nabave.  </w:t>
            </w:r>
          </w:p>
          <w:p w14:paraId="0FFE1F5D" w14:textId="77777777" w:rsidR="00445A51" w:rsidRDefault="00000000">
            <w:r>
              <w:t>Ponuditelj ne smije mijenjati tekst dokumentacije ili opis predmeta nabave niti mijenjati ili dopisivati bilo koju stavku ili sadržaj troškovnika.</w:t>
            </w:r>
          </w:p>
          <w:p w14:paraId="2305EE0C" w14:textId="77777777" w:rsidR="00445A51" w:rsidRDefault="00445A51"/>
          <w:p w14:paraId="358A0097" w14:textId="77777777" w:rsidR="00445A51" w:rsidRDefault="00445A51">
            <w:pPr>
              <w:spacing w:after="0" w:line="259" w:lineRule="auto"/>
              <w:ind w:left="80" w:firstLine="0"/>
            </w:pPr>
          </w:p>
          <w:p w14:paraId="0A4561DC" w14:textId="77777777" w:rsidR="00445A51" w:rsidRDefault="00445A51">
            <w:pPr>
              <w:spacing w:after="0" w:line="259" w:lineRule="auto"/>
              <w:ind w:left="-36"/>
              <w:jc w:val="left"/>
            </w:pPr>
          </w:p>
        </w:tc>
      </w:tr>
      <w:tr w:rsidR="00445A51" w14:paraId="7FBE0D17" w14:textId="77777777">
        <w:trPr>
          <w:trHeight w:val="567"/>
        </w:trPr>
        <w:tc>
          <w:tcPr>
            <w:tcW w:w="3060" w:type="dxa"/>
            <w:tcBorders>
              <w:top w:val="single" w:sz="4" w:space="0" w:color="181717"/>
              <w:left w:val="single" w:sz="8" w:space="0" w:color="181717"/>
              <w:bottom w:val="single" w:sz="4" w:space="0" w:color="181717"/>
              <w:right w:val="nil"/>
            </w:tcBorders>
            <w:shd w:val="clear" w:color="auto" w:fill="DEDDDC"/>
            <w:vAlign w:val="center"/>
          </w:tcPr>
          <w:p w14:paraId="6A95BDF0" w14:textId="77777777" w:rsidR="00445A51" w:rsidRDefault="00000000">
            <w:pPr>
              <w:spacing w:after="0" w:line="259" w:lineRule="auto"/>
              <w:ind w:left="80" w:firstLine="0"/>
              <w:jc w:val="left"/>
            </w:pPr>
            <w:r>
              <w:rPr>
                <w:b/>
              </w:rPr>
              <w:t>2.  OPIS PREDMETA NABAVE</w:t>
            </w:r>
          </w:p>
        </w:tc>
        <w:tc>
          <w:tcPr>
            <w:tcW w:w="6623" w:type="dxa"/>
            <w:tcBorders>
              <w:top w:val="single" w:sz="4" w:space="0" w:color="181717"/>
              <w:left w:val="nil"/>
              <w:bottom w:val="single" w:sz="4" w:space="0" w:color="181717"/>
              <w:right w:val="single" w:sz="8" w:space="0" w:color="181717"/>
            </w:tcBorders>
            <w:shd w:val="clear" w:color="auto" w:fill="DEDDDC"/>
          </w:tcPr>
          <w:p w14:paraId="0DA4A0EB" w14:textId="77777777" w:rsidR="00445A51" w:rsidRDefault="00445A51">
            <w:pPr>
              <w:spacing w:after="160" w:line="259" w:lineRule="auto"/>
              <w:ind w:left="0" w:firstLine="0"/>
              <w:jc w:val="left"/>
            </w:pPr>
          </w:p>
        </w:tc>
      </w:tr>
      <w:tr w:rsidR="00445A51" w14:paraId="050A9CD6" w14:textId="77777777">
        <w:trPr>
          <w:trHeight w:val="2254"/>
        </w:trPr>
        <w:tc>
          <w:tcPr>
            <w:tcW w:w="9683" w:type="dxa"/>
            <w:gridSpan w:val="2"/>
            <w:tcBorders>
              <w:top w:val="single" w:sz="4" w:space="0" w:color="181717"/>
              <w:left w:val="single" w:sz="8" w:space="0" w:color="181717"/>
              <w:right w:val="single" w:sz="8" w:space="0" w:color="181717"/>
            </w:tcBorders>
            <w:vAlign w:val="bottom"/>
          </w:tcPr>
          <w:p w14:paraId="390934A0" w14:textId="35C25268" w:rsidR="00445A51" w:rsidRDefault="00000000">
            <w:pPr>
              <w:spacing w:after="0" w:line="259" w:lineRule="auto"/>
              <w:ind w:left="0" w:firstLine="0"/>
            </w:pPr>
            <w:r>
              <w:lastRenderedPageBreak/>
              <w:t xml:space="preserve">-Predmet nabave je nabava </w:t>
            </w:r>
            <w:r w:rsidR="00E67C0D">
              <w:t>papirne konfekcije</w:t>
            </w:r>
            <w:r>
              <w:t xml:space="preserve"> sukladno Troškovniku koji se kao zaseban prilog nalazi kao sastavni dio Dokumentacije o nabavi.</w:t>
            </w:r>
          </w:p>
          <w:p w14:paraId="3134AEF9" w14:textId="77777777" w:rsidR="00445A51" w:rsidRDefault="00000000">
            <w:r>
              <w:t xml:space="preserve">-Količine predmeta nabave, iskazane u pripadajućem troškovniku, su </w:t>
            </w:r>
            <w:r>
              <w:rPr>
                <w:b/>
              </w:rPr>
              <w:t>okvirne (predviđene) količine</w:t>
            </w:r>
            <w:r>
              <w:t xml:space="preserve"> za razdoblje trajanja ugovora. Stvarno nabavljene količine mogu biti veće ili manje od navedenih u troškovniku. </w:t>
            </w:r>
          </w:p>
          <w:p w14:paraId="4D295FEC" w14:textId="77777777" w:rsidR="00445A51" w:rsidRDefault="00000000">
            <w:pPr>
              <w:autoSpaceDE w:val="0"/>
              <w:autoSpaceDN w:val="0"/>
              <w:adjustRightInd w:val="0"/>
            </w:pPr>
            <w:r>
              <w:t>-Ponuditelj je obvezan  popuniti obrazac Troškovnika s opisom predmeta nabave na način da ispiše sve stavke kako je predviđeno. Potpisom ovlaštene osobe ponuditelj potvrđuje vjerodostojnost Troškovnika.</w:t>
            </w:r>
          </w:p>
          <w:p w14:paraId="4751B5ED" w14:textId="77777777" w:rsidR="00445A51" w:rsidRDefault="00000000">
            <w:r>
              <w:t>-Kupac će redovite mjesečne račune plaćati u roku od 30 (trideset) dana od dana zaprimanja računa za uredno isporučenu robu, doznakom na poslovni račun ponuditelja .</w:t>
            </w:r>
          </w:p>
          <w:p w14:paraId="24BD3318" w14:textId="77777777" w:rsidR="00445A51" w:rsidRDefault="00000000">
            <w:pPr>
              <w:rPr>
                <w:sz w:val="20"/>
                <w:szCs w:val="20"/>
              </w:rPr>
            </w:pPr>
            <w:r>
              <w:t>-Plaćanje predujma je isključeno.</w:t>
            </w:r>
          </w:p>
          <w:p w14:paraId="095DEC13" w14:textId="77777777" w:rsidR="00445A51" w:rsidRDefault="00445A51">
            <w:pPr>
              <w:spacing w:after="0" w:line="259" w:lineRule="auto"/>
              <w:ind w:left="0" w:firstLine="0"/>
              <w:rPr>
                <w:sz w:val="20"/>
                <w:szCs w:val="20"/>
              </w:rPr>
            </w:pPr>
          </w:p>
          <w:p w14:paraId="73364BE6" w14:textId="50FDA459" w:rsidR="00445A51" w:rsidRDefault="00000000">
            <w:pPr>
              <w:spacing w:after="0" w:line="259" w:lineRule="auto"/>
              <w:ind w:left="80" w:firstLine="0"/>
            </w:pPr>
            <w:r>
              <w:rPr>
                <w:b/>
                <w:bCs/>
                <w:sz w:val="24"/>
                <w:szCs w:val="24"/>
              </w:rPr>
              <w:t>Procijenjena vrijednost nabave (u eurima bez PDV-a):</w:t>
            </w:r>
            <w:r>
              <w:rPr>
                <w:b/>
                <w:bCs/>
                <w:color w:val="0000FF"/>
                <w:sz w:val="24"/>
                <w:szCs w:val="24"/>
              </w:rPr>
              <w:t xml:space="preserve"> </w:t>
            </w:r>
            <w:r w:rsidR="00E67C0D">
              <w:rPr>
                <w:b/>
                <w:bCs/>
                <w:color w:val="0000FF"/>
                <w:sz w:val="24"/>
                <w:szCs w:val="24"/>
              </w:rPr>
              <w:t>20.000,00</w:t>
            </w:r>
          </w:p>
        </w:tc>
      </w:tr>
      <w:tr w:rsidR="00445A51" w14:paraId="01326121" w14:textId="77777777">
        <w:trPr>
          <w:trHeight w:val="567"/>
        </w:trPr>
        <w:tc>
          <w:tcPr>
            <w:tcW w:w="3060" w:type="dxa"/>
            <w:tcBorders>
              <w:top w:val="single" w:sz="4" w:space="0" w:color="181717"/>
              <w:left w:val="single" w:sz="8" w:space="0" w:color="181717"/>
              <w:bottom w:val="single" w:sz="4" w:space="0" w:color="181717"/>
              <w:right w:val="nil"/>
            </w:tcBorders>
            <w:shd w:val="clear" w:color="auto" w:fill="DEDDDC"/>
            <w:vAlign w:val="center"/>
          </w:tcPr>
          <w:p w14:paraId="032F6EF9" w14:textId="77777777" w:rsidR="00445A51" w:rsidRDefault="00000000">
            <w:pPr>
              <w:spacing w:after="0" w:line="259" w:lineRule="auto"/>
              <w:ind w:left="80" w:firstLine="0"/>
              <w:jc w:val="left"/>
            </w:pPr>
            <w:r>
              <w:rPr>
                <w:b/>
              </w:rPr>
              <w:t>3.  UVJETI I ZAHTJEVI NABAVE</w:t>
            </w:r>
          </w:p>
        </w:tc>
        <w:tc>
          <w:tcPr>
            <w:tcW w:w="6623" w:type="dxa"/>
            <w:tcBorders>
              <w:top w:val="single" w:sz="4" w:space="0" w:color="181717"/>
              <w:left w:val="nil"/>
              <w:bottom w:val="single" w:sz="4" w:space="0" w:color="181717"/>
              <w:right w:val="single" w:sz="8" w:space="0" w:color="181717"/>
            </w:tcBorders>
            <w:shd w:val="clear" w:color="auto" w:fill="DEDDDC"/>
          </w:tcPr>
          <w:p w14:paraId="4DC106E5" w14:textId="77777777" w:rsidR="00445A51" w:rsidRDefault="00445A51">
            <w:pPr>
              <w:spacing w:after="160" w:line="259" w:lineRule="auto"/>
              <w:ind w:left="0" w:firstLine="0"/>
              <w:jc w:val="left"/>
            </w:pPr>
          </w:p>
        </w:tc>
      </w:tr>
      <w:tr w:rsidR="00445A51" w14:paraId="03594E7F" w14:textId="77777777">
        <w:trPr>
          <w:trHeight w:val="320"/>
        </w:trPr>
        <w:tc>
          <w:tcPr>
            <w:tcW w:w="3060" w:type="dxa"/>
            <w:tcBorders>
              <w:top w:val="single" w:sz="4" w:space="0" w:color="181717"/>
              <w:left w:val="single" w:sz="8" w:space="0" w:color="181717"/>
              <w:bottom w:val="single" w:sz="4" w:space="0" w:color="181717"/>
              <w:right w:val="single" w:sz="4" w:space="0" w:color="181717"/>
            </w:tcBorders>
          </w:tcPr>
          <w:p w14:paraId="04C4E29E" w14:textId="77777777" w:rsidR="00445A51" w:rsidRDefault="00000000">
            <w:pPr>
              <w:tabs>
                <w:tab w:val="center" w:pos="1127"/>
              </w:tabs>
              <w:spacing w:after="0" w:line="259" w:lineRule="auto"/>
              <w:ind w:left="0" w:firstLine="0"/>
              <w:jc w:val="left"/>
            </w:pPr>
            <w:r>
              <w:rPr>
                <w:rFonts w:ascii="Segoe UI Symbol" w:eastAsia="Segoe UI Symbol" w:hAnsi="Segoe UI Symbol" w:cs="Segoe UI Symbol"/>
                <w:b/>
                <w:bCs/>
              </w:rPr>
              <w:t xml:space="preserve">3.1. </w:t>
            </w:r>
            <w:r>
              <w:rPr>
                <w:b/>
                <w:bCs/>
              </w:rPr>
              <w:t>Način izvršenja</w:t>
            </w:r>
          </w:p>
        </w:tc>
        <w:tc>
          <w:tcPr>
            <w:tcW w:w="6623" w:type="dxa"/>
            <w:tcBorders>
              <w:top w:val="single" w:sz="4" w:space="0" w:color="181717"/>
              <w:left w:val="single" w:sz="4" w:space="0" w:color="181717"/>
              <w:bottom w:val="single" w:sz="4" w:space="0" w:color="181717"/>
              <w:right w:val="single" w:sz="8" w:space="0" w:color="181717"/>
            </w:tcBorders>
          </w:tcPr>
          <w:p w14:paraId="103680A6" w14:textId="77777777" w:rsidR="00445A51" w:rsidRDefault="00000000">
            <w:pPr>
              <w:spacing w:after="160" w:line="259" w:lineRule="auto"/>
              <w:ind w:left="0" w:firstLine="0"/>
              <w:jc w:val="left"/>
            </w:pPr>
            <w:r>
              <w:t>Izvršenje ugovora mora biti u skladu sa ovom dokumentacijom i njenim prilozima te odabranom ponudom. Ponuđena roba mora  u cijelosti zadovoljiti sve tražene uvjete iz opisa predmeta nabave te zahtjeve i uvjete iz troškovnika.</w:t>
            </w:r>
          </w:p>
          <w:p w14:paraId="15F21697" w14:textId="77777777" w:rsidR="00445A51" w:rsidRDefault="00000000">
            <w:pPr>
              <w:spacing w:after="160" w:line="259" w:lineRule="auto"/>
              <w:ind w:left="0" w:firstLine="0"/>
              <w:jc w:val="left"/>
            </w:pPr>
            <w:r>
              <w:t xml:space="preserve"> </w:t>
            </w:r>
          </w:p>
        </w:tc>
      </w:tr>
      <w:tr w:rsidR="00445A51" w14:paraId="3E4630DE" w14:textId="77777777">
        <w:trPr>
          <w:trHeight w:val="320"/>
        </w:trPr>
        <w:tc>
          <w:tcPr>
            <w:tcW w:w="3060" w:type="dxa"/>
            <w:tcBorders>
              <w:top w:val="single" w:sz="4" w:space="0" w:color="181717"/>
              <w:left w:val="single" w:sz="8" w:space="0" w:color="181717"/>
              <w:bottom w:val="single" w:sz="4" w:space="0" w:color="181717"/>
              <w:right w:val="single" w:sz="4" w:space="0" w:color="181717"/>
            </w:tcBorders>
          </w:tcPr>
          <w:p w14:paraId="1425072F" w14:textId="77777777" w:rsidR="00445A51" w:rsidRDefault="00000000">
            <w:pPr>
              <w:tabs>
                <w:tab w:val="center" w:pos="1369"/>
              </w:tabs>
              <w:spacing w:after="0" w:line="259" w:lineRule="auto"/>
              <w:ind w:left="0" w:firstLine="0"/>
              <w:jc w:val="left"/>
            </w:pPr>
            <w:r>
              <w:rPr>
                <w:rFonts w:ascii="Segoe UI Symbol" w:eastAsia="Segoe UI Symbol" w:hAnsi="Segoe UI Symbol" w:cs="Segoe UI Symbol"/>
                <w:b/>
                <w:bCs/>
              </w:rPr>
              <w:t xml:space="preserve">3.2. </w:t>
            </w:r>
            <w:r>
              <w:rPr>
                <w:b/>
                <w:bCs/>
              </w:rPr>
              <w:t>Rok trajanja ugovora</w:t>
            </w:r>
          </w:p>
        </w:tc>
        <w:tc>
          <w:tcPr>
            <w:tcW w:w="6623" w:type="dxa"/>
            <w:tcBorders>
              <w:top w:val="single" w:sz="4" w:space="0" w:color="181717"/>
              <w:left w:val="single" w:sz="4" w:space="0" w:color="181717"/>
              <w:bottom w:val="single" w:sz="4" w:space="0" w:color="181717"/>
              <w:right w:val="single" w:sz="8" w:space="0" w:color="181717"/>
            </w:tcBorders>
          </w:tcPr>
          <w:p w14:paraId="6B913FB7" w14:textId="77777777" w:rsidR="00445A51" w:rsidRDefault="00000000">
            <w:pPr>
              <w:spacing w:after="160" w:line="259" w:lineRule="auto"/>
              <w:ind w:left="0" w:firstLine="0"/>
              <w:jc w:val="left"/>
            </w:pPr>
            <w:r>
              <w:t>Naručitelj će s odabranim Ponuditeljem sklopiti Ugovor u trajanju od 01.01.2026. do 31.12.2026.god.</w:t>
            </w:r>
          </w:p>
        </w:tc>
      </w:tr>
      <w:tr w:rsidR="00445A51" w14:paraId="7A8AAEFE" w14:textId="77777777">
        <w:trPr>
          <w:trHeight w:val="320"/>
        </w:trPr>
        <w:tc>
          <w:tcPr>
            <w:tcW w:w="3060" w:type="dxa"/>
            <w:tcBorders>
              <w:top w:val="single" w:sz="4" w:space="0" w:color="181717"/>
              <w:left w:val="single" w:sz="8" w:space="0" w:color="181717"/>
              <w:bottom w:val="single" w:sz="4" w:space="0" w:color="181717"/>
              <w:right w:val="single" w:sz="4" w:space="0" w:color="181717"/>
            </w:tcBorders>
          </w:tcPr>
          <w:p w14:paraId="25CD9B87" w14:textId="77777777" w:rsidR="00445A51" w:rsidRDefault="00000000">
            <w:pPr>
              <w:tabs>
                <w:tab w:val="center" w:pos="1430"/>
              </w:tabs>
              <w:spacing w:after="0" w:line="259" w:lineRule="auto"/>
              <w:ind w:left="0" w:firstLine="0"/>
              <w:jc w:val="left"/>
            </w:pPr>
            <w:r>
              <w:rPr>
                <w:b/>
                <w:bCs/>
              </w:rPr>
              <w:t>3.3. Rok valjanosti ponude</w:t>
            </w:r>
          </w:p>
        </w:tc>
        <w:tc>
          <w:tcPr>
            <w:tcW w:w="6623" w:type="dxa"/>
            <w:tcBorders>
              <w:top w:val="single" w:sz="4" w:space="0" w:color="181717"/>
              <w:left w:val="single" w:sz="4" w:space="0" w:color="181717"/>
              <w:bottom w:val="single" w:sz="4" w:space="0" w:color="181717"/>
              <w:right w:val="single" w:sz="8" w:space="0" w:color="181717"/>
            </w:tcBorders>
          </w:tcPr>
          <w:p w14:paraId="5BD44C94" w14:textId="77777777" w:rsidR="00445A51" w:rsidRDefault="00000000">
            <w:pPr>
              <w:spacing w:after="160" w:line="259" w:lineRule="auto"/>
              <w:ind w:left="0" w:firstLine="0"/>
              <w:jc w:val="left"/>
            </w:pPr>
            <w:r>
              <w:t>45 dana od dana isteka roka za dostavu ponuda</w:t>
            </w:r>
          </w:p>
        </w:tc>
      </w:tr>
      <w:tr w:rsidR="00445A51" w14:paraId="1CC9E431" w14:textId="77777777">
        <w:trPr>
          <w:trHeight w:val="667"/>
        </w:trPr>
        <w:tc>
          <w:tcPr>
            <w:tcW w:w="3060" w:type="dxa"/>
            <w:tcBorders>
              <w:top w:val="single" w:sz="4" w:space="0" w:color="181717"/>
              <w:left w:val="single" w:sz="8" w:space="0" w:color="181717"/>
              <w:bottom w:val="single" w:sz="4" w:space="0" w:color="181717"/>
              <w:right w:val="single" w:sz="4" w:space="0" w:color="181717"/>
            </w:tcBorders>
          </w:tcPr>
          <w:p w14:paraId="35682F53" w14:textId="77777777" w:rsidR="00445A51" w:rsidRDefault="00000000">
            <w:pPr>
              <w:tabs>
                <w:tab w:val="center" w:pos="1170"/>
              </w:tabs>
              <w:spacing w:after="0" w:line="259" w:lineRule="auto"/>
              <w:ind w:left="0" w:firstLine="0"/>
              <w:jc w:val="left"/>
            </w:pPr>
            <w:r>
              <w:rPr>
                <w:b/>
                <w:bCs/>
              </w:rPr>
              <w:t>3.4. Mjesto izvršenja</w:t>
            </w:r>
          </w:p>
        </w:tc>
        <w:tc>
          <w:tcPr>
            <w:tcW w:w="6623" w:type="dxa"/>
            <w:tcBorders>
              <w:top w:val="single" w:sz="4" w:space="0" w:color="181717"/>
              <w:left w:val="single" w:sz="4" w:space="0" w:color="181717"/>
              <w:bottom w:val="single" w:sz="4" w:space="0" w:color="181717"/>
              <w:right w:val="single" w:sz="8" w:space="0" w:color="181717"/>
            </w:tcBorders>
          </w:tcPr>
          <w:p w14:paraId="78EC501A" w14:textId="77777777" w:rsidR="00445A51" w:rsidRDefault="00000000">
            <w:pPr>
              <w:spacing w:after="160" w:line="259" w:lineRule="auto"/>
              <w:ind w:left="0" w:firstLine="0"/>
              <w:jc w:val="left"/>
            </w:pPr>
            <w:r>
              <w:t>Split, Ivana pl. Zajca 2, centralno skladište</w:t>
            </w:r>
          </w:p>
        </w:tc>
      </w:tr>
      <w:tr w:rsidR="00445A51" w14:paraId="49F28C61" w14:textId="77777777">
        <w:trPr>
          <w:trHeight w:val="320"/>
        </w:trPr>
        <w:tc>
          <w:tcPr>
            <w:tcW w:w="3060" w:type="dxa"/>
            <w:tcBorders>
              <w:top w:val="single" w:sz="4" w:space="0" w:color="181717"/>
              <w:left w:val="single" w:sz="8" w:space="0" w:color="181717"/>
              <w:bottom w:val="single" w:sz="4" w:space="0" w:color="181717"/>
              <w:right w:val="single" w:sz="4" w:space="0" w:color="181717"/>
            </w:tcBorders>
          </w:tcPr>
          <w:p w14:paraId="0843F143" w14:textId="77777777" w:rsidR="00445A51" w:rsidRDefault="00000000">
            <w:pPr>
              <w:tabs>
                <w:tab w:val="center" w:pos="1647"/>
              </w:tabs>
              <w:spacing w:after="0" w:line="259" w:lineRule="auto"/>
              <w:ind w:left="0" w:firstLine="0"/>
              <w:jc w:val="left"/>
            </w:pPr>
            <w:r>
              <w:rPr>
                <w:rFonts w:ascii="Segoe UI Symbol" w:eastAsia="Segoe UI Symbol" w:hAnsi="Segoe UI Symbol" w:cs="Segoe UI Symbol"/>
                <w:b/>
                <w:bCs/>
              </w:rPr>
              <w:t xml:space="preserve">3.5. </w:t>
            </w:r>
            <w:r>
              <w:rPr>
                <w:b/>
                <w:bCs/>
              </w:rPr>
              <w:t>Rok, način i uvjeti plaćanja</w:t>
            </w:r>
          </w:p>
        </w:tc>
        <w:tc>
          <w:tcPr>
            <w:tcW w:w="6623" w:type="dxa"/>
            <w:tcBorders>
              <w:top w:val="single" w:sz="4" w:space="0" w:color="181717"/>
              <w:left w:val="single" w:sz="4" w:space="0" w:color="181717"/>
              <w:bottom w:val="single" w:sz="4" w:space="0" w:color="181717"/>
              <w:right w:val="single" w:sz="8" w:space="0" w:color="181717"/>
            </w:tcBorders>
          </w:tcPr>
          <w:p w14:paraId="318B596E" w14:textId="77777777" w:rsidR="00445A51" w:rsidRDefault="00000000">
            <w:pPr>
              <w:spacing w:after="160" w:line="259" w:lineRule="auto"/>
              <w:ind w:left="0" w:firstLine="0"/>
              <w:jc w:val="left"/>
            </w:pPr>
            <w:r>
              <w:t>Naručitelj će nakon uspješne isporuke robe plaćanje izvršiti na IBAN račun Prodavatelja u roku od 30 dana od primitka E-Računa. Uz račun je potrebno priložiti ovjerenu otpremnicu nakon pregleda ispravnosti količine i kvalitetete dostavljene robe.</w:t>
            </w:r>
          </w:p>
        </w:tc>
      </w:tr>
      <w:tr w:rsidR="00445A51" w14:paraId="4C5CA92B" w14:textId="77777777">
        <w:trPr>
          <w:trHeight w:val="1831"/>
        </w:trPr>
        <w:tc>
          <w:tcPr>
            <w:tcW w:w="3060" w:type="dxa"/>
            <w:tcBorders>
              <w:top w:val="single" w:sz="4" w:space="0" w:color="181717"/>
              <w:left w:val="single" w:sz="8" w:space="0" w:color="181717"/>
              <w:bottom w:val="single" w:sz="4" w:space="0" w:color="181717"/>
              <w:right w:val="single" w:sz="4" w:space="0" w:color="181717"/>
            </w:tcBorders>
          </w:tcPr>
          <w:p w14:paraId="790040A6" w14:textId="77777777" w:rsidR="00445A51" w:rsidRDefault="00000000">
            <w:pPr>
              <w:tabs>
                <w:tab w:val="center" w:pos="2239"/>
              </w:tabs>
              <w:spacing w:after="0" w:line="259" w:lineRule="auto"/>
              <w:ind w:left="0" w:firstLine="0"/>
              <w:jc w:val="left"/>
            </w:pPr>
            <w:r>
              <w:t xml:space="preserve"> </w:t>
            </w:r>
            <w:r>
              <w:rPr>
                <w:b/>
                <w:bCs/>
              </w:rPr>
              <w:t xml:space="preserve">3.6. Cijena ponude (odredbe o cijeni ponude) </w:t>
            </w:r>
          </w:p>
          <w:p w14:paraId="19BD1139" w14:textId="77777777" w:rsidR="00445A51" w:rsidRDefault="00445A51">
            <w:pPr>
              <w:spacing w:after="0" w:line="259" w:lineRule="auto"/>
              <w:ind w:left="0" w:right="78" w:firstLine="0"/>
              <w:jc w:val="right"/>
            </w:pPr>
          </w:p>
        </w:tc>
        <w:tc>
          <w:tcPr>
            <w:tcW w:w="6623" w:type="dxa"/>
            <w:tcBorders>
              <w:top w:val="single" w:sz="4" w:space="0" w:color="181717"/>
              <w:left w:val="single" w:sz="4" w:space="0" w:color="181717"/>
              <w:bottom w:val="single" w:sz="4" w:space="0" w:color="181717"/>
              <w:right w:val="single" w:sz="8" w:space="0" w:color="181717"/>
            </w:tcBorders>
          </w:tcPr>
          <w:p w14:paraId="054A875C" w14:textId="77777777" w:rsidR="00445A51" w:rsidRDefault="00000000">
            <w:pPr>
              <w:autoSpaceDE w:val="0"/>
              <w:autoSpaceDN w:val="0"/>
              <w:adjustRightInd w:val="0"/>
            </w:pPr>
            <w:r>
              <w:t>Cijena ponude obuhvaća sve stavke troškovnika za koji se podnosi ponuda.</w:t>
            </w:r>
          </w:p>
          <w:p w14:paraId="17378B1F" w14:textId="77777777" w:rsidR="00445A51" w:rsidRDefault="00000000">
            <w:pPr>
              <w:autoSpaceDE w:val="0"/>
              <w:autoSpaceDN w:val="0"/>
              <w:adjustRightInd w:val="0"/>
            </w:pPr>
            <w:r>
              <w:t>U cijenu ponude bez poreza na dodanu vrijednost moraju biti uračunati svi troškovi i popusti.</w:t>
            </w:r>
          </w:p>
          <w:p w14:paraId="48E0EEAA" w14:textId="77777777" w:rsidR="00445A51" w:rsidRDefault="00000000">
            <w:pPr>
              <w:autoSpaceDE w:val="0"/>
              <w:autoSpaceDN w:val="0"/>
              <w:adjustRightInd w:val="0"/>
            </w:pPr>
            <w:r>
              <w:t>Cijena ponude izražava se u EUR-ima.</w:t>
            </w:r>
          </w:p>
          <w:p w14:paraId="7830D7C1" w14:textId="77777777" w:rsidR="00445A51" w:rsidRDefault="00000000">
            <w:pPr>
              <w:ind w:left="0" w:firstLine="0"/>
            </w:pPr>
            <w:r>
              <w:t>Ako gospodarski subjekt nije u sustavu PDV-a ili je predmet nabave oslobođen PDV-a, u Troškovniku, na mjesto predviđeno za upis cijene ponude s PDV-om, upisuje se isti iznos kao što je upisan na mjestu predviđenom za upis cijene ponude bez PDV-a.</w:t>
            </w:r>
          </w:p>
          <w:p w14:paraId="04D20BD1" w14:textId="77777777" w:rsidR="00445A51" w:rsidRDefault="00000000">
            <w:pPr>
              <w:autoSpaceDE w:val="0"/>
              <w:autoSpaceDN w:val="0"/>
              <w:adjustRightInd w:val="0"/>
              <w:ind w:left="0" w:firstLine="0"/>
            </w:pPr>
            <w:r>
              <w:t xml:space="preserve">Cijena ponude je </w:t>
            </w:r>
            <w:r>
              <w:rPr>
                <w:i/>
                <w:color w:val="0070C0"/>
              </w:rPr>
              <w:t>nepromjenjiva</w:t>
            </w:r>
            <w:r>
              <w:t xml:space="preserve"> za cijelo vrijeme trajanja  ugovora o javnoj nabavi. </w:t>
            </w:r>
          </w:p>
          <w:p w14:paraId="091BF86B" w14:textId="77777777" w:rsidR="00445A51" w:rsidRDefault="00000000">
            <w:pPr>
              <w:autoSpaceDE w:val="0"/>
              <w:autoSpaceDN w:val="0"/>
              <w:adjustRightInd w:val="0"/>
              <w:ind w:left="0" w:firstLine="0"/>
            </w:pPr>
            <w:r>
              <w:t xml:space="preserve">Ponuditelji su dužni upisati jediničnu cijenu, zaokruženu na dvije decimale. </w:t>
            </w:r>
          </w:p>
          <w:p w14:paraId="1115C9C9" w14:textId="77777777" w:rsidR="00445A51" w:rsidRDefault="00445A51">
            <w:pPr>
              <w:suppressAutoHyphens/>
            </w:pPr>
          </w:p>
          <w:p w14:paraId="0BEADE3E" w14:textId="77777777" w:rsidR="00445A51" w:rsidRDefault="00445A51">
            <w:pPr>
              <w:spacing w:after="160" w:line="259" w:lineRule="auto"/>
              <w:ind w:left="0" w:firstLine="0"/>
              <w:jc w:val="left"/>
            </w:pPr>
          </w:p>
        </w:tc>
      </w:tr>
      <w:tr w:rsidR="00445A51" w14:paraId="074C3F2A" w14:textId="77777777">
        <w:trPr>
          <w:trHeight w:val="819"/>
        </w:trPr>
        <w:tc>
          <w:tcPr>
            <w:tcW w:w="3060" w:type="dxa"/>
            <w:tcBorders>
              <w:top w:val="single" w:sz="4" w:space="0" w:color="181717"/>
              <w:left w:val="single" w:sz="8" w:space="0" w:color="181717"/>
              <w:bottom w:val="single" w:sz="4" w:space="0" w:color="181717"/>
              <w:right w:val="single" w:sz="4" w:space="0" w:color="181717"/>
            </w:tcBorders>
          </w:tcPr>
          <w:p w14:paraId="19D2BCC0" w14:textId="77777777" w:rsidR="00445A51" w:rsidRDefault="00000000">
            <w:pPr>
              <w:tabs>
                <w:tab w:val="center" w:pos="1549"/>
              </w:tabs>
              <w:spacing w:after="0" w:line="259" w:lineRule="auto"/>
              <w:ind w:left="0" w:firstLine="0"/>
              <w:jc w:val="left"/>
              <w:rPr>
                <w:b/>
                <w:bCs/>
              </w:rPr>
            </w:pPr>
            <w:r>
              <w:rPr>
                <w:b/>
                <w:bCs/>
              </w:rPr>
              <w:lastRenderedPageBreak/>
              <w:t xml:space="preserve">3.7. Kriterij za odabir ponuda </w:t>
            </w:r>
          </w:p>
          <w:p w14:paraId="449FDB54" w14:textId="77777777" w:rsidR="00445A51" w:rsidRDefault="00000000">
            <w:pPr>
              <w:spacing w:after="0" w:line="259" w:lineRule="auto"/>
              <w:ind w:left="0" w:right="78" w:firstLine="0"/>
              <w:jc w:val="right"/>
            </w:pPr>
            <w:r>
              <w:rPr>
                <w:b/>
                <w:bCs/>
              </w:rPr>
              <w:t>(uz obvezu ispunjenja svih uvjeta i zahtjeva iz Poziva na dostavu ponude)</w:t>
            </w:r>
          </w:p>
        </w:tc>
        <w:tc>
          <w:tcPr>
            <w:tcW w:w="6623" w:type="dxa"/>
            <w:tcBorders>
              <w:top w:val="single" w:sz="4" w:space="0" w:color="181717"/>
              <w:left w:val="single" w:sz="4" w:space="0" w:color="181717"/>
              <w:bottom w:val="single" w:sz="4" w:space="0" w:color="181717"/>
              <w:right w:val="single" w:sz="8" w:space="0" w:color="181717"/>
            </w:tcBorders>
          </w:tcPr>
          <w:p w14:paraId="43AE0D97" w14:textId="77777777" w:rsidR="00445A51" w:rsidRDefault="00000000">
            <w:pPr>
              <w:spacing w:after="160" w:line="259" w:lineRule="auto"/>
              <w:ind w:left="0" w:firstLine="0"/>
              <w:jc w:val="left"/>
            </w:pPr>
            <w:r>
              <w:t>Najniža cijena uz udovoljavanje zahtjevima iz ove dokumentacije.</w:t>
            </w:r>
          </w:p>
        </w:tc>
      </w:tr>
      <w:tr w:rsidR="00445A51" w14:paraId="3486AEE8" w14:textId="77777777">
        <w:trPr>
          <w:trHeight w:val="3318"/>
        </w:trPr>
        <w:tc>
          <w:tcPr>
            <w:tcW w:w="9683" w:type="dxa"/>
            <w:gridSpan w:val="2"/>
            <w:tcBorders>
              <w:top w:val="single" w:sz="4" w:space="0" w:color="181717"/>
              <w:left w:val="single" w:sz="8" w:space="0" w:color="181717"/>
              <w:bottom w:val="single" w:sz="4" w:space="0" w:color="181717"/>
              <w:right w:val="single" w:sz="8" w:space="0" w:color="181717"/>
            </w:tcBorders>
          </w:tcPr>
          <w:p w14:paraId="131FD18D" w14:textId="77777777" w:rsidR="00445A51" w:rsidRDefault="00000000">
            <w:pPr>
              <w:spacing w:line="360" w:lineRule="auto"/>
              <w:jc w:val="center"/>
              <w:rPr>
                <w:b/>
              </w:rPr>
            </w:pPr>
            <w:r>
              <w:rPr>
                <w:b/>
                <w:sz w:val="24"/>
                <w:szCs w:val="24"/>
              </w:rPr>
              <w:t>3.8.  Osnove za isključenje gospodarskog subjekta</w:t>
            </w:r>
          </w:p>
          <w:p w14:paraId="46B6D6E7" w14:textId="77777777" w:rsidR="00445A51" w:rsidRDefault="00445A51">
            <w:pPr>
              <w:tabs>
                <w:tab w:val="center" w:pos="1931"/>
              </w:tabs>
              <w:spacing w:after="0" w:line="259" w:lineRule="auto"/>
              <w:ind w:left="0" w:firstLine="0"/>
              <w:jc w:val="left"/>
            </w:pPr>
          </w:p>
          <w:p w14:paraId="6F5F3D19" w14:textId="77777777" w:rsidR="00445A51" w:rsidRDefault="00000000">
            <w:r>
              <w:t>Temeljem članka 251. Zakona o javnoj nabavi javni naručitelj obvezan je isključiti gospodarskog subjekta iz postupka javne nabave ako utvrdi da:</w:t>
            </w:r>
          </w:p>
          <w:p w14:paraId="33B7D87A" w14:textId="77777777" w:rsidR="00445A51" w:rsidRDefault="00000000">
            <w:r>
              <w:rPr>
                <w:b/>
                <w:bCs/>
              </w:rPr>
              <w:t>1</w:t>
            </w:r>
            <w:r>
              <w:t>.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EF8857B" w14:textId="77777777" w:rsidR="00445A51" w:rsidRDefault="00000000">
            <w:r>
              <w:rPr>
                <w:b/>
                <w:bCs/>
              </w:rPr>
              <w:t>a)</w:t>
            </w:r>
            <w:r>
              <w:t xml:space="preserve"> </w:t>
            </w:r>
            <w:r>
              <w:rPr>
                <w:b/>
                <w:bCs/>
              </w:rPr>
              <w:t>sudjelovanje u zločinačkoj organizaciji, na temelju</w:t>
            </w:r>
          </w:p>
          <w:p w14:paraId="0F258C43" w14:textId="77777777" w:rsidR="00445A51" w:rsidRDefault="00000000">
            <w:r>
              <w:t>– članka 328. (zločinačko udruženje) i članka 329. (počinjenje kaznenog djela u sastavu zločinačkog udruženja) Kaznenog zakona</w:t>
            </w:r>
          </w:p>
          <w:p w14:paraId="2E82B23E" w14:textId="77777777" w:rsidR="00445A51" w:rsidRDefault="00000000">
            <w:r>
              <w:t>– članka 333. (udruživanje za počinjenje kaznenih djela), iz Kaznenog zakona (»Narodne novine«, br. 110/97., 27/98., 50/00., 129/00., 51/01., 111/03., 190/03., 105/04., 84/05., 71/06., 110/07., 152/08., 57/11., 77/11. i 143/12.)</w:t>
            </w:r>
          </w:p>
          <w:p w14:paraId="66FCCE6F" w14:textId="77777777" w:rsidR="00445A51" w:rsidRDefault="00000000">
            <w:pPr>
              <w:rPr>
                <w:b/>
                <w:bCs/>
              </w:rPr>
            </w:pPr>
            <w:r>
              <w:rPr>
                <w:b/>
                <w:bCs/>
              </w:rPr>
              <w:t>b) korupciju, na temelju</w:t>
            </w:r>
          </w:p>
          <w:p w14:paraId="0B887755" w14:textId="77777777" w:rsidR="00445A51" w:rsidRDefault="00000000">
            <w: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56A6CA" w14:textId="77777777" w:rsidR="00445A51" w:rsidRDefault="00000000">
            <w: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0493B9E" w14:textId="77777777" w:rsidR="00445A51" w:rsidRDefault="00000000">
            <w:pPr>
              <w:rPr>
                <w:b/>
                <w:bCs/>
              </w:rPr>
            </w:pPr>
            <w:r>
              <w:rPr>
                <w:b/>
                <w:bCs/>
              </w:rPr>
              <w:t>c) prijevaru, na temelju</w:t>
            </w:r>
          </w:p>
          <w:p w14:paraId="24810AFF" w14:textId="77777777" w:rsidR="00445A51" w:rsidRDefault="00000000">
            <w:r>
              <w:t>– članka 236. (prijevara), članka 247. (prijevara u gospodarskom poslovanju), članka 256. (utaja poreza ili carine) i članka 258. (subvencijska prijevara) Kaznenog zakona</w:t>
            </w:r>
          </w:p>
          <w:p w14:paraId="058F9003" w14:textId="77777777" w:rsidR="00445A51" w:rsidRDefault="00000000">
            <w:r>
              <w:t>– članka 224. (prijevara), članka 293. (prijevara u gospodarskom poslovanju) i članka 286. (utaja poreza i drugih davanja) iz Kaznenog zakona (»Narodne novine«, br. 110/97., 27/98., 50/00., 129/00., 51/01., 111/03., 190/03., 105/04., 84/05., 71/06., 110/07., 152/08., 57/11., 77/11. i 143/12.)</w:t>
            </w:r>
          </w:p>
          <w:p w14:paraId="6F947F7B" w14:textId="77777777" w:rsidR="00445A51" w:rsidRDefault="00000000">
            <w:pPr>
              <w:rPr>
                <w:b/>
                <w:bCs/>
              </w:rPr>
            </w:pPr>
            <w:r>
              <w:rPr>
                <w:b/>
                <w:bCs/>
              </w:rPr>
              <w:t>d) terorizam ili kaznena djela povezana s terorističkim aktivnostima, na temelju</w:t>
            </w:r>
          </w:p>
          <w:p w14:paraId="2EEB7AF6" w14:textId="77777777" w:rsidR="00445A51" w:rsidRDefault="00000000">
            <w:r>
              <w:lastRenderedPageBreak/>
              <w:t>– članka 97. (terorizam), članka 99. (javno poticanje na terorizam), članka 100. (novačenje za terorizam), članka 101. (obuka za terorizam) i članka 102. (terorističko udruženje) Kaznenog zakona</w:t>
            </w:r>
          </w:p>
          <w:p w14:paraId="1AD8EACA" w14:textId="77777777" w:rsidR="00445A51" w:rsidRDefault="00000000">
            <w:r>
              <w:t>– članka 169. (terorizam), članka 169.a (javno poticanje na terorizam) i članka 169.b (novačenje i obuka za terorizam) iz Kaznenog zakona (»Narodne novine«, br. 110/97., 27/98., 50/00., 129/00., 51/01., 111/03., 190/03., 105/04., 84/05., 71/06., 110/07., 152/08., 57/11., 77/11. i 143/12.)</w:t>
            </w:r>
          </w:p>
          <w:p w14:paraId="0EB3FC6F" w14:textId="77777777" w:rsidR="00445A51" w:rsidRDefault="00000000">
            <w:pPr>
              <w:rPr>
                <w:b/>
                <w:bCs/>
              </w:rPr>
            </w:pPr>
            <w:r>
              <w:rPr>
                <w:b/>
                <w:bCs/>
              </w:rPr>
              <w:t>e) pranje novca ili financiranje terorizma, na temelju</w:t>
            </w:r>
          </w:p>
          <w:p w14:paraId="29E7F8E1" w14:textId="77777777" w:rsidR="00445A51" w:rsidRDefault="00000000">
            <w:r>
              <w:t>– članka 98. (financiranje terorizma) i članka 265. (pranje novca) Kaznenog zakona</w:t>
            </w:r>
          </w:p>
          <w:p w14:paraId="43439F50" w14:textId="77777777" w:rsidR="00445A51" w:rsidRDefault="00000000">
            <w:r>
              <w:t>– članka 279. (pranje novca) iz Kaznenog zakona (»Narodne novine«, br. 110/97., 27/98., 50/00., 129/00., 51/01., 111/03., 190/03., 105/04., 84/05., 71/06., 110/07., 152/08., 57/11., 77/11. i 143/12.)</w:t>
            </w:r>
          </w:p>
          <w:p w14:paraId="14439628" w14:textId="77777777" w:rsidR="00445A51" w:rsidRDefault="00000000">
            <w:pPr>
              <w:rPr>
                <w:b/>
                <w:bCs/>
              </w:rPr>
            </w:pPr>
            <w:r>
              <w:rPr>
                <w:b/>
                <w:bCs/>
              </w:rPr>
              <w:t>f) dječji rad ili druge oblike trgovanja ljudima, na temelju</w:t>
            </w:r>
          </w:p>
          <w:p w14:paraId="7FE44B0D" w14:textId="77777777" w:rsidR="00445A51" w:rsidRDefault="00000000">
            <w:r>
              <w:t>– članka 106. (trgovanje ljudima) Kaznenog zakona</w:t>
            </w:r>
          </w:p>
          <w:p w14:paraId="74203FB5" w14:textId="77777777" w:rsidR="00445A51" w:rsidRDefault="00000000">
            <w:r>
              <w:t>– članka 175. (trgovanje ljudima i ropstvo) iz Kaznenog zakona (»Narodne novine«, br. 110/97., 27/98., 50/00., 129/00., 51/01., 111/03., 190/03., 105/04., 84/05., 71/06., 110/07., 152/08., 57/11., 77/11. i 143/12.), ili</w:t>
            </w:r>
          </w:p>
          <w:p w14:paraId="14390B0D" w14:textId="77777777" w:rsidR="00445A51" w:rsidRDefault="00000000">
            <w:r>
              <w:rPr>
                <w:b/>
                <w:bCs/>
              </w:rPr>
              <w:t xml:space="preserve">2. </w:t>
            </w: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B69B4C8" w14:textId="77777777" w:rsidR="00445A51" w:rsidRDefault="00000000">
            <w:r>
              <w:t>Temeljem članka 251. stavak 2. javni naručitelj obvezan je isključiti gospodarskog subjekta u bilo kojem trenutku tijekom postupka javne nabave ako utvrdi da postoje osnove za isključenje iz članka 251.stavak 1. točka 1. i 2. Zakona.</w:t>
            </w:r>
          </w:p>
          <w:p w14:paraId="51494C4C" w14:textId="77777777" w:rsidR="00445A51" w:rsidRDefault="00000000">
            <w:r>
              <w:t>Temeljem članka 252. Zakona o javnoj nabavi javni naručitelj obvezan je isključiti gospodarskog subjekta iz postupka javne nabave ako utvrdi da gospodarski subjekt nije ispunio obveze plaćanja dospjelih poreznih</w:t>
            </w:r>
            <w:r>
              <w:rPr>
                <w:color w:val="666666"/>
              </w:rPr>
              <w:t xml:space="preserve"> </w:t>
            </w:r>
            <w:r>
              <w:t>obveza i obveza za mirovinsko i zdravstveno osiguranje:</w:t>
            </w:r>
          </w:p>
          <w:p w14:paraId="0400F254" w14:textId="77777777" w:rsidR="00445A51" w:rsidRDefault="00000000">
            <w:r>
              <w:t>1. u Republici Hrvatskoj, ako gospodarski subjekt ima poslovni nastan u Republici Hrvatskoj, ili</w:t>
            </w:r>
          </w:p>
          <w:p w14:paraId="335D3784" w14:textId="77777777" w:rsidR="00445A51" w:rsidRDefault="00000000">
            <w:r>
              <w:t>2. u Republici Hrvatskoj ili u državi poslovnog nastana gospodarskog subjekta, ako gospodarski subjekt nema poslovni nastan u Republici Hrvatskoj.</w:t>
            </w:r>
          </w:p>
          <w:p w14:paraId="1A2782DF" w14:textId="77777777" w:rsidR="00445A51" w:rsidRDefault="00000000">
            <w:r>
              <w:t>Temeljem članka 252. stavak 2. javni naručitelj neće isključiti gospodarskog subjekta iz postupka javne nabave ako mu sukladno posebnom propisu plaćanje obveza nije dopušteno ili mu je odobrena odgoda plaćanja.</w:t>
            </w:r>
          </w:p>
          <w:p w14:paraId="78D45629" w14:textId="77777777" w:rsidR="00445A51" w:rsidRDefault="00000000">
            <w:pPr>
              <w:ind w:left="0" w:firstLine="0"/>
            </w:pPr>
            <w:r>
              <w:t>-Temeljem članka 252. Zakona o javnoj nabavi javni naručitelj obvezan je isključiti gospodarskog subjekta iz postupka javne nabave ako utvrdi da gospodarski subjekt nije ispunio obveze plaćanja dospjelih poreznih</w:t>
            </w:r>
            <w:r>
              <w:rPr>
                <w:color w:val="666666"/>
              </w:rPr>
              <w:t xml:space="preserve"> </w:t>
            </w:r>
            <w:r>
              <w:t>obveza i obveza za mirovinsko i zdravstveno osiguranje:</w:t>
            </w:r>
          </w:p>
          <w:p w14:paraId="04FA6918" w14:textId="77777777" w:rsidR="00445A51" w:rsidRDefault="00000000">
            <w:r>
              <w:rPr>
                <w:b/>
                <w:bCs/>
              </w:rPr>
              <w:t>1</w:t>
            </w:r>
            <w:r>
              <w:t>. u Republici Hrvatskoj, ako gospodarski subjekt ima poslovni nastan u Republici Hrvatskoj, ili</w:t>
            </w:r>
          </w:p>
          <w:p w14:paraId="159E7D7C" w14:textId="77777777" w:rsidR="00445A51" w:rsidRDefault="00000000">
            <w:r>
              <w:rPr>
                <w:b/>
                <w:bCs/>
              </w:rPr>
              <w:t>2.</w:t>
            </w:r>
            <w:r>
              <w:t xml:space="preserve"> u Republici Hrvatskoj ili u državi poslovnog nastana gospodarskog subjekta, ako gospodarski subjekt nema poslovni nastan u Republici Hrvatskoj.</w:t>
            </w:r>
          </w:p>
          <w:p w14:paraId="7C40C7A0" w14:textId="77777777" w:rsidR="00445A51" w:rsidRDefault="00445A51">
            <w:pPr>
              <w:ind w:left="0" w:firstLine="0"/>
            </w:pPr>
          </w:p>
          <w:p w14:paraId="5C372D33" w14:textId="77777777" w:rsidR="00445A51" w:rsidRDefault="00445A51"/>
          <w:p w14:paraId="4BCDE2E8" w14:textId="77777777" w:rsidR="00445A51" w:rsidRDefault="00445A51">
            <w:pPr>
              <w:pStyle w:val="NoSpacing"/>
              <w:ind w:left="0"/>
              <w:rPr>
                <w:rFonts w:ascii="Times New Roman" w:hAnsi="Times New Roman" w:cs="Times New Roman"/>
                <w:color w:val="000000"/>
                <w:sz w:val="24"/>
                <w:szCs w:val="24"/>
                <w:lang w:val="pl-PL"/>
                <w14:textFill>
                  <w14:solidFill>
                    <w14:srgbClr w14:val="000000">
                      <w14:lumMod w14:val="65000"/>
                      <w14:lumOff w14:val="35000"/>
                    </w14:srgbClr>
                  </w14:solidFill>
                </w14:textFill>
              </w:rPr>
            </w:pPr>
          </w:p>
        </w:tc>
      </w:tr>
      <w:tr w:rsidR="00445A51" w14:paraId="5F174116" w14:textId="77777777">
        <w:trPr>
          <w:trHeight w:val="6060"/>
        </w:trPr>
        <w:tc>
          <w:tcPr>
            <w:tcW w:w="9683" w:type="dxa"/>
            <w:gridSpan w:val="2"/>
            <w:tcBorders>
              <w:top w:val="single" w:sz="4" w:space="0" w:color="181717"/>
              <w:left w:val="single" w:sz="8" w:space="0" w:color="181717"/>
              <w:bottom w:val="single" w:sz="4" w:space="0" w:color="181717"/>
              <w:right w:val="single" w:sz="8" w:space="0" w:color="181717"/>
            </w:tcBorders>
          </w:tcPr>
          <w:p w14:paraId="2DF0BED8" w14:textId="77777777" w:rsidR="00445A51" w:rsidRPr="002131A3" w:rsidRDefault="00000000">
            <w:pPr>
              <w:pStyle w:val="NoSpacing"/>
              <w:ind w:left="0"/>
              <w:jc w:val="center"/>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 xml:space="preserve">3.9. </w:t>
            </w:r>
            <w:r w:rsidRPr="002131A3">
              <w:rPr>
                <w:rFonts w:ascii="Times New Roman" w:hAnsi="Times New Roman" w:cs="Times New Roman"/>
                <w:b/>
                <w:sz w:val="24"/>
                <w:szCs w:val="24"/>
                <w:lang w:val="hr-HR"/>
              </w:rPr>
              <w:t>Dokumenti kojima gospodarski subjekt dokazuje da ne postoje osnove za isključenje</w:t>
            </w:r>
          </w:p>
          <w:p w14:paraId="07D61FAA" w14:textId="77777777" w:rsidR="00445A51" w:rsidRPr="002131A3" w:rsidRDefault="00445A51">
            <w:pPr>
              <w:pStyle w:val="NoSpacing"/>
              <w:ind w:left="0"/>
              <w:jc w:val="center"/>
              <w:rPr>
                <w:rFonts w:ascii="Times New Roman" w:hAnsi="Times New Roman" w:cs="Times New Roman"/>
                <w:b/>
                <w:sz w:val="24"/>
                <w:szCs w:val="24"/>
                <w:lang w:val="hr-HR"/>
              </w:rPr>
            </w:pPr>
          </w:p>
          <w:p w14:paraId="3C898344" w14:textId="77777777" w:rsidR="00445A51" w:rsidRDefault="00000000">
            <w:r>
              <w:t>Temeljem članka 265. stavak 1. Zakona o javnoj nabavi gospodarski subjekt ne postojanje osnove za isključenje</w:t>
            </w:r>
            <w:r>
              <w:rPr>
                <w:b/>
              </w:rPr>
              <w:t xml:space="preserve"> </w:t>
            </w:r>
            <w:r>
              <w:t>dokazuje slijedećim dokumentima/dokaznim sredstvima:</w:t>
            </w:r>
          </w:p>
          <w:p w14:paraId="027D9EA0" w14:textId="77777777" w:rsidR="00445A51" w:rsidRDefault="00000000">
            <w: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čl.251. st.1. Zakona, točka 13.1.1. Poziva,</w:t>
            </w:r>
          </w:p>
          <w:p w14:paraId="283B0837" w14:textId="77777777" w:rsidR="00445A51" w:rsidRDefault="00000000">
            <w:r>
              <w:t>2.    potvrdu porezne uprave ili drugog nadležnog tijela u državi poslovnog nastana gospodarskog subjekta kojom se dokazuje da ne postoje osnove za isključenje iz članka 252. stavak 1. Zakona, točka 13.1.2. Poziva,</w:t>
            </w:r>
          </w:p>
          <w:p w14:paraId="7BB6E046" w14:textId="77777777" w:rsidR="00445A51" w:rsidRDefault="00000000">
            <w:r>
              <w:t>3.    izvadak iz sudskog registra ili potvrdu trgovačkog suda ili drugog nadležnog tijela u državi poslovnog nastana gospodarskog subjekta kojim se dokazuje da ne postoje osnove za isključenje iz članka 254. stavak 1. točka 2. Zakona, točka 13.1.3. Poziva.</w:t>
            </w:r>
          </w:p>
          <w:p w14:paraId="31C6DA69" w14:textId="77777777" w:rsidR="00445A51" w:rsidRPr="002131A3" w:rsidRDefault="00445A51">
            <w:pPr>
              <w:pStyle w:val="NoSpacing"/>
              <w:ind w:left="0"/>
              <w:rPr>
                <w:rFonts w:ascii="Times New Roman" w:hAnsi="Times New Roman" w:cs="Times New Roman"/>
                <w:b/>
                <w:sz w:val="24"/>
                <w:szCs w:val="24"/>
                <w:lang w:val="hr-HR"/>
              </w:rPr>
            </w:pPr>
          </w:p>
          <w:p w14:paraId="34B5C716" w14:textId="77777777" w:rsidR="00445A51" w:rsidRDefault="00000000">
            <w:pPr>
              <w:pStyle w:val="NoSpacing"/>
              <w:ind w:left="0"/>
              <w:rPr>
                <w:rFonts w:ascii="Times New Roman" w:hAnsi="Times New Roman" w:cs="Times New Roman"/>
                <w:b/>
                <w:sz w:val="24"/>
                <w:szCs w:val="24"/>
              </w:rPr>
            </w:pPr>
            <w:r w:rsidRPr="002131A3">
              <w:rPr>
                <w:rFonts w:ascii="Times New Roman" w:hAnsi="Times New Roman" w:cs="Times New Roman"/>
                <w:sz w:val="22"/>
                <w:szCs w:val="22"/>
                <w:lang w:val="hr-HR"/>
              </w:rPr>
              <w:t>Sve dokumente kojima se dokazuje da ne postoje osnove za isključenje</w:t>
            </w:r>
            <w:r w:rsidRPr="002131A3">
              <w:rPr>
                <w:rFonts w:ascii="Times New Roman" w:hAnsi="Times New Roman" w:cs="Times New Roman"/>
                <w:b/>
                <w:sz w:val="22"/>
                <w:szCs w:val="22"/>
                <w:lang w:val="hr-HR"/>
              </w:rPr>
              <w:t xml:space="preserve"> </w:t>
            </w:r>
            <w:r w:rsidRPr="002131A3">
              <w:rPr>
                <w:rFonts w:ascii="Times New Roman" w:hAnsi="Times New Roman" w:cs="Times New Roman"/>
                <w:sz w:val="22"/>
                <w:szCs w:val="22"/>
                <w:lang w:val="hr-HR"/>
              </w:rPr>
              <w:t xml:space="preserve">gospodarski subjekti mogu dostaviti u neovjerenoj preslici. </w:t>
            </w:r>
            <w:proofErr w:type="spellStart"/>
            <w:r>
              <w:rPr>
                <w:rFonts w:ascii="Times New Roman" w:hAnsi="Times New Roman" w:cs="Times New Roman"/>
                <w:sz w:val="22"/>
                <w:szCs w:val="22"/>
              </w:rPr>
              <w:t>Neovjerenom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preslikom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smatra</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neovjereni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ispis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elektroničke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isprave</w:t>
            </w:r>
            <w:proofErr w:type="spellEnd"/>
            <w:r>
              <w:rPr>
                <w:rFonts w:ascii="Times New Roman" w:hAnsi="Times New Roman" w:cs="Times New Roman"/>
                <w:sz w:val="22"/>
                <w:szCs w:val="22"/>
              </w:rPr>
              <w:t>.</w:t>
            </w:r>
          </w:p>
          <w:p w14:paraId="3CA361C5" w14:textId="77777777" w:rsidR="00445A51" w:rsidRDefault="00445A51">
            <w:pPr>
              <w:pStyle w:val="NoSpacing"/>
              <w:ind w:left="0"/>
              <w:rPr>
                <w:b/>
                <w:sz w:val="22"/>
                <w:szCs w:val="22"/>
              </w:rPr>
            </w:pPr>
          </w:p>
          <w:p w14:paraId="62EAA70B" w14:textId="77777777" w:rsidR="00445A51" w:rsidRDefault="00445A51">
            <w:pPr>
              <w:pStyle w:val="NoSpacing"/>
              <w:ind w:left="0"/>
              <w:rPr>
                <w:b/>
                <w:sz w:val="22"/>
                <w:szCs w:val="22"/>
                <w:lang w:val="pl-PL"/>
              </w:rPr>
            </w:pPr>
          </w:p>
        </w:tc>
      </w:tr>
      <w:tr w:rsidR="00445A51" w14:paraId="1AD43E01" w14:textId="77777777">
        <w:trPr>
          <w:trHeight w:val="320"/>
        </w:trPr>
        <w:tc>
          <w:tcPr>
            <w:tcW w:w="3060" w:type="dxa"/>
            <w:tcBorders>
              <w:top w:val="single" w:sz="4" w:space="0" w:color="181717"/>
              <w:left w:val="single" w:sz="8" w:space="0" w:color="181717"/>
              <w:bottom w:val="single" w:sz="4" w:space="0" w:color="181717"/>
              <w:right w:val="single" w:sz="4" w:space="0" w:color="181717"/>
            </w:tcBorders>
          </w:tcPr>
          <w:p w14:paraId="1A28DF02" w14:textId="77777777" w:rsidR="00445A51" w:rsidRDefault="00000000">
            <w:pPr>
              <w:tabs>
                <w:tab w:val="center" w:pos="794"/>
              </w:tabs>
              <w:spacing w:after="0" w:line="259" w:lineRule="auto"/>
              <w:ind w:left="0" w:firstLine="0"/>
              <w:jc w:val="left"/>
              <w:rPr>
                <w:rFonts w:ascii="Segoe UI Symbol" w:eastAsia="Segoe UI Symbol" w:hAnsi="Segoe UI Symbol" w:cs="Segoe UI Symbol"/>
              </w:rPr>
            </w:pPr>
            <w:r>
              <w:rPr>
                <w:rFonts w:eastAsia="Segoe UI Symbol"/>
                <w:b/>
                <w:bCs/>
              </w:rPr>
              <w:t>3.10.Dokaz tehničke i stručne sposobnosti ponuditelja</w:t>
            </w:r>
          </w:p>
        </w:tc>
        <w:tc>
          <w:tcPr>
            <w:tcW w:w="6623" w:type="dxa"/>
            <w:tcBorders>
              <w:top w:val="single" w:sz="4" w:space="0" w:color="181717"/>
              <w:left w:val="single" w:sz="4" w:space="0" w:color="181717"/>
              <w:bottom w:val="single" w:sz="4" w:space="0" w:color="181717"/>
              <w:right w:val="single" w:sz="8" w:space="0" w:color="181717"/>
            </w:tcBorders>
          </w:tcPr>
          <w:p w14:paraId="2D00066D" w14:textId="77777777" w:rsidR="00445A51" w:rsidRDefault="00000000">
            <w:pPr>
              <w:spacing w:after="160" w:line="259" w:lineRule="auto"/>
              <w:ind w:left="0" w:firstLine="0"/>
              <w:jc w:val="left"/>
              <w:rPr>
                <w:color w:val="000000"/>
                <w:sz w:val="24"/>
                <w:szCs w:val="24"/>
                <w14:textFill>
                  <w14:solidFill>
                    <w14:srgbClr w14:val="000000">
                      <w14:lumMod w14:val="65000"/>
                      <w14:lumOff w14:val="35000"/>
                    </w14:srgbClr>
                  </w14:solidFill>
                </w14:textFill>
              </w:rPr>
            </w:pPr>
            <w:r>
              <w:rPr>
                <w:color w:val="000000"/>
                <w:sz w:val="24"/>
                <w:szCs w:val="24"/>
                <w14:textFill>
                  <w14:solidFill>
                    <w14:srgbClr w14:val="000000">
                      <w14:lumMod w14:val="65000"/>
                      <w14:lumOff w14:val="35000"/>
                    </w14:srgbClr>
                  </w14:solidFill>
                </w14:textFill>
              </w:rPr>
              <w:t>Popis značajnih ugovora o isporuci robe iste ili slične predmetu nabave u posljednje 3 godine u visini procijenjene vrijednosti.</w:t>
            </w:r>
          </w:p>
          <w:p w14:paraId="75034E00" w14:textId="77777777" w:rsidR="00445A51" w:rsidRDefault="00000000">
            <w:pPr>
              <w:spacing w:after="160" w:line="259" w:lineRule="auto"/>
              <w:ind w:left="0" w:firstLine="0"/>
              <w:jc w:val="left"/>
              <w:rPr>
                <w:color w:val="000000"/>
                <w:sz w:val="24"/>
                <w:szCs w:val="24"/>
                <w14:textFill>
                  <w14:solidFill>
                    <w14:srgbClr w14:val="000000">
                      <w14:lumMod w14:val="65000"/>
                      <w14:lumOff w14:val="35000"/>
                    </w14:srgbClr>
                  </w14:solidFill>
                </w14:textFill>
              </w:rPr>
            </w:pPr>
            <w:r>
              <w:rPr>
                <w:color w:val="000000"/>
                <w:sz w:val="24"/>
                <w:szCs w:val="24"/>
                <w14:textFill>
                  <w14:solidFill>
                    <w14:srgbClr w14:val="000000">
                      <w14:lumMod w14:val="65000"/>
                      <w14:lumOff w14:val="35000"/>
                    </w14:srgbClr>
                  </w14:solidFill>
                </w14:textFill>
              </w:rPr>
              <w:t>Naručitelj u sklopu dokumentacije o nabavi prilaže obrazac u kojem Ponuditelj navodi popis uredno izvršenih ugovora i ugovorenu vrijednost.</w:t>
            </w:r>
          </w:p>
        </w:tc>
      </w:tr>
      <w:tr w:rsidR="00445A51" w14:paraId="133E5920" w14:textId="77777777">
        <w:trPr>
          <w:trHeight w:val="320"/>
        </w:trPr>
        <w:tc>
          <w:tcPr>
            <w:tcW w:w="3060" w:type="dxa"/>
            <w:tcBorders>
              <w:top w:val="single" w:sz="4" w:space="0" w:color="181717"/>
              <w:left w:val="single" w:sz="8" w:space="0" w:color="181717"/>
              <w:bottom w:val="single" w:sz="4" w:space="0" w:color="181717"/>
              <w:right w:val="single" w:sz="4" w:space="0" w:color="181717"/>
            </w:tcBorders>
          </w:tcPr>
          <w:p w14:paraId="5B5B6455" w14:textId="77777777" w:rsidR="00445A51" w:rsidRDefault="00000000">
            <w:pPr>
              <w:tabs>
                <w:tab w:val="center" w:pos="794"/>
              </w:tabs>
              <w:spacing w:after="0" w:line="259" w:lineRule="auto"/>
              <w:ind w:left="0" w:firstLine="0"/>
              <w:jc w:val="left"/>
            </w:pPr>
            <w:r>
              <w:rPr>
                <w:rFonts w:ascii="Segoe UI Symbol" w:eastAsia="Segoe UI Symbol" w:hAnsi="Segoe UI Symbol" w:cs="Segoe UI Symbol"/>
                <w:b/>
                <w:bCs/>
              </w:rPr>
              <w:t xml:space="preserve">3.11. </w:t>
            </w:r>
            <w:r>
              <w:rPr>
                <w:b/>
                <w:bCs/>
              </w:rPr>
              <w:t>Jamstva</w:t>
            </w:r>
          </w:p>
        </w:tc>
        <w:tc>
          <w:tcPr>
            <w:tcW w:w="6623" w:type="dxa"/>
            <w:tcBorders>
              <w:top w:val="single" w:sz="4" w:space="0" w:color="181717"/>
              <w:left w:val="single" w:sz="4" w:space="0" w:color="181717"/>
              <w:bottom w:val="single" w:sz="4" w:space="0" w:color="181717"/>
              <w:right w:val="single" w:sz="8" w:space="0" w:color="181717"/>
            </w:tcBorders>
          </w:tcPr>
          <w:p w14:paraId="5C250504" w14:textId="77777777" w:rsidR="00445A51" w:rsidRDefault="00000000">
            <w:pPr>
              <w:spacing w:after="160" w:line="259" w:lineRule="auto"/>
              <w:ind w:left="0" w:firstLine="0"/>
              <w:jc w:val="left"/>
            </w:pPr>
            <w:r>
              <w:t>Nije traženo</w:t>
            </w:r>
          </w:p>
        </w:tc>
      </w:tr>
      <w:tr w:rsidR="00445A51" w14:paraId="3E6F416F" w14:textId="77777777">
        <w:trPr>
          <w:trHeight w:val="320"/>
        </w:trPr>
        <w:tc>
          <w:tcPr>
            <w:tcW w:w="3060" w:type="dxa"/>
            <w:tcBorders>
              <w:top w:val="single" w:sz="4" w:space="0" w:color="181717"/>
              <w:left w:val="single" w:sz="8" w:space="0" w:color="181717"/>
              <w:bottom w:val="single" w:sz="4" w:space="0" w:color="181717"/>
              <w:right w:val="single" w:sz="4" w:space="0" w:color="181717"/>
            </w:tcBorders>
          </w:tcPr>
          <w:p w14:paraId="59EDDEF7" w14:textId="77777777" w:rsidR="00445A51" w:rsidRDefault="00000000">
            <w:pPr>
              <w:tabs>
                <w:tab w:val="center" w:pos="727"/>
              </w:tabs>
              <w:spacing w:after="0" w:line="259" w:lineRule="auto"/>
              <w:ind w:left="0" w:firstLine="0"/>
              <w:jc w:val="left"/>
            </w:pPr>
            <w:r>
              <w:rPr>
                <w:b/>
                <w:bCs/>
              </w:rPr>
              <w:t>3.12. Ostale napomene</w:t>
            </w:r>
          </w:p>
        </w:tc>
        <w:tc>
          <w:tcPr>
            <w:tcW w:w="6623" w:type="dxa"/>
            <w:tcBorders>
              <w:top w:val="single" w:sz="4" w:space="0" w:color="181717"/>
              <w:left w:val="single" w:sz="4" w:space="0" w:color="181717"/>
              <w:bottom w:val="single" w:sz="4" w:space="0" w:color="181717"/>
              <w:right w:val="single" w:sz="8" w:space="0" w:color="181717"/>
            </w:tcBorders>
          </w:tcPr>
          <w:p w14:paraId="158F885E" w14:textId="77777777" w:rsidR="00445A51" w:rsidRDefault="00000000">
            <w:pPr>
              <w:spacing w:after="160" w:line="259" w:lineRule="auto"/>
              <w:ind w:left="0" w:firstLine="0"/>
              <w:jc w:val="left"/>
            </w:pPr>
            <w:r>
              <w:t>Po potrebi,ako su informacije ili dokumentacija koje je trebao dostaviti gospodarski subjekt nepotpuni ili pogrešni ili se takvima čine ili ako nedostaju određeni dokumenti , javni naručitelj može ,poštujući načela jednakog tretmana i transparentnosti , zahtijevati od dotičnih gospodarskih subjekata da dopune,razjasne, upotpune ili dostave nužne informacije ili dokumentaciju u primjerenom roku.</w:t>
            </w:r>
          </w:p>
        </w:tc>
      </w:tr>
    </w:tbl>
    <w:p w14:paraId="4D2E1D82" w14:textId="77777777" w:rsidR="00445A51" w:rsidRDefault="00445A51">
      <w:pPr>
        <w:spacing w:after="0" w:line="259" w:lineRule="auto"/>
        <w:ind w:left="-1133" w:right="1" w:firstLine="0"/>
        <w:jc w:val="left"/>
      </w:pPr>
    </w:p>
    <w:tbl>
      <w:tblPr>
        <w:tblStyle w:val="TableGrid"/>
        <w:tblW w:w="9618" w:type="dxa"/>
        <w:tblInd w:w="22" w:type="dxa"/>
        <w:tblCellMar>
          <w:top w:w="80" w:type="dxa"/>
          <w:left w:w="80" w:type="dxa"/>
          <w:bottom w:w="66" w:type="dxa"/>
          <w:right w:w="24" w:type="dxa"/>
        </w:tblCellMar>
        <w:tblLook w:val="04A0" w:firstRow="1" w:lastRow="0" w:firstColumn="1" w:lastColumn="0" w:noHBand="0" w:noVBand="1"/>
      </w:tblPr>
      <w:tblGrid>
        <w:gridCol w:w="4809"/>
        <w:gridCol w:w="4809"/>
      </w:tblGrid>
      <w:tr w:rsidR="00445A51" w14:paraId="0BE44E83" w14:textId="77777777">
        <w:trPr>
          <w:trHeight w:val="567"/>
        </w:trPr>
        <w:tc>
          <w:tcPr>
            <w:tcW w:w="9618" w:type="dxa"/>
            <w:gridSpan w:val="2"/>
            <w:tcBorders>
              <w:top w:val="single" w:sz="4" w:space="0" w:color="181717"/>
              <w:left w:val="single" w:sz="8" w:space="0" w:color="181717"/>
              <w:bottom w:val="single" w:sz="4" w:space="0" w:color="181717"/>
              <w:right w:val="single" w:sz="8" w:space="0" w:color="181717"/>
            </w:tcBorders>
            <w:shd w:val="clear" w:color="auto" w:fill="DEDDDC"/>
            <w:vAlign w:val="center"/>
          </w:tcPr>
          <w:p w14:paraId="7D2EEA6D" w14:textId="77777777" w:rsidR="00445A51" w:rsidRDefault="00000000">
            <w:pPr>
              <w:spacing w:after="0" w:line="259" w:lineRule="auto"/>
              <w:ind w:left="0" w:firstLine="0"/>
              <w:jc w:val="left"/>
            </w:pPr>
            <w:r>
              <w:rPr>
                <w:b/>
              </w:rPr>
              <w:t>4.  SASTAVNI DIJELOVI PONUDE</w:t>
            </w:r>
          </w:p>
        </w:tc>
      </w:tr>
      <w:tr w:rsidR="00445A51" w14:paraId="00505B06" w14:textId="77777777">
        <w:trPr>
          <w:trHeight w:val="1811"/>
        </w:trPr>
        <w:tc>
          <w:tcPr>
            <w:tcW w:w="9618" w:type="dxa"/>
            <w:gridSpan w:val="2"/>
            <w:tcBorders>
              <w:top w:val="single" w:sz="4" w:space="0" w:color="181717"/>
              <w:left w:val="single" w:sz="8" w:space="0" w:color="181717"/>
              <w:bottom w:val="single" w:sz="4" w:space="0" w:color="181717"/>
              <w:right w:val="single" w:sz="8" w:space="0" w:color="181717"/>
            </w:tcBorders>
          </w:tcPr>
          <w:p w14:paraId="50A4B541" w14:textId="77777777" w:rsidR="00445A51" w:rsidRDefault="00000000">
            <w:pPr>
              <w:spacing w:after="118" w:line="259" w:lineRule="auto"/>
              <w:ind w:left="0" w:firstLine="0"/>
              <w:jc w:val="left"/>
            </w:pPr>
            <w:r>
              <w:t>Ponuda treba sadržavati:</w:t>
            </w:r>
          </w:p>
          <w:p w14:paraId="59CA6B42" w14:textId="77777777" w:rsidR="00445A51" w:rsidRDefault="00000000">
            <w:pPr>
              <w:numPr>
                <w:ilvl w:val="0"/>
                <w:numId w:val="1"/>
              </w:numPr>
              <w:spacing w:after="83" w:line="259" w:lineRule="auto"/>
              <w:ind w:hanging="360"/>
              <w:jc w:val="left"/>
            </w:pPr>
            <w:r>
              <w:t>Popunjeni ponudbeni list, potpisan i ovjeren od strane ovlaštene osobe za zastupanje po zakonu i ovjerena pečatom ponuditelja</w:t>
            </w:r>
          </w:p>
          <w:p w14:paraId="4581AB5A" w14:textId="77777777" w:rsidR="00445A51" w:rsidRDefault="00000000">
            <w:pPr>
              <w:numPr>
                <w:ilvl w:val="0"/>
                <w:numId w:val="1"/>
              </w:numPr>
              <w:spacing w:after="83" w:line="259" w:lineRule="auto"/>
              <w:ind w:hanging="360"/>
              <w:jc w:val="left"/>
            </w:pPr>
            <w:r>
              <w:t>Troškovnik (ispunjen i potpisan od strane ponuditelja);</w:t>
            </w:r>
          </w:p>
          <w:p w14:paraId="1A977683" w14:textId="77777777" w:rsidR="00445A51" w:rsidRDefault="00000000">
            <w:pPr>
              <w:numPr>
                <w:ilvl w:val="0"/>
                <w:numId w:val="1"/>
              </w:numPr>
              <w:spacing w:after="83" w:line="259" w:lineRule="auto"/>
              <w:ind w:hanging="360"/>
              <w:jc w:val="left"/>
            </w:pPr>
            <w:r>
              <w:t>Dokumente kojima ponuditelj dokazuje da ne postoje razlozi za isključenje iz postupka nabave , te dokaz tehničke i stručne sposobnosti (reference prethodno izvršenih ugovora o isporuci robe iste ili slične predmetu ove nabave).</w:t>
            </w:r>
          </w:p>
          <w:p w14:paraId="3FAA38C3" w14:textId="77777777" w:rsidR="00445A51" w:rsidRDefault="00445A51">
            <w:pPr>
              <w:spacing w:after="83" w:line="259" w:lineRule="auto"/>
              <w:ind w:left="0" w:firstLine="0"/>
              <w:jc w:val="left"/>
            </w:pPr>
          </w:p>
        </w:tc>
      </w:tr>
      <w:tr w:rsidR="00445A51" w14:paraId="6A105257" w14:textId="77777777">
        <w:trPr>
          <w:trHeight w:val="567"/>
        </w:trPr>
        <w:tc>
          <w:tcPr>
            <w:tcW w:w="9618" w:type="dxa"/>
            <w:gridSpan w:val="2"/>
            <w:tcBorders>
              <w:top w:val="single" w:sz="4" w:space="0" w:color="181717"/>
              <w:left w:val="single" w:sz="8" w:space="0" w:color="181717"/>
              <w:bottom w:val="single" w:sz="4" w:space="0" w:color="181717"/>
              <w:right w:val="single" w:sz="8" w:space="0" w:color="181717"/>
            </w:tcBorders>
            <w:shd w:val="clear" w:color="auto" w:fill="DEDDDC"/>
            <w:vAlign w:val="center"/>
          </w:tcPr>
          <w:p w14:paraId="25C0A1EA" w14:textId="77777777" w:rsidR="00445A51" w:rsidRDefault="00000000">
            <w:pPr>
              <w:spacing w:after="0" w:line="259" w:lineRule="auto"/>
              <w:ind w:left="0" w:firstLine="0"/>
              <w:jc w:val="left"/>
            </w:pPr>
            <w:r>
              <w:rPr>
                <w:b/>
              </w:rPr>
              <w:lastRenderedPageBreak/>
              <w:t xml:space="preserve">5.  NAČIN DOSTAVE PONUDE </w:t>
            </w:r>
          </w:p>
        </w:tc>
      </w:tr>
      <w:tr w:rsidR="00445A51" w14:paraId="721EFE5F" w14:textId="77777777">
        <w:trPr>
          <w:trHeight w:val="3443"/>
        </w:trPr>
        <w:tc>
          <w:tcPr>
            <w:tcW w:w="9618" w:type="dxa"/>
            <w:gridSpan w:val="2"/>
            <w:tcBorders>
              <w:top w:val="single" w:sz="4" w:space="0" w:color="181717"/>
              <w:left w:val="single" w:sz="8" w:space="0" w:color="181717"/>
              <w:bottom w:val="single" w:sz="4" w:space="0" w:color="181717"/>
              <w:right w:val="single" w:sz="8" w:space="0" w:color="181717"/>
            </w:tcBorders>
          </w:tcPr>
          <w:p w14:paraId="0F33D503" w14:textId="77777777" w:rsidR="00445A51" w:rsidRDefault="00000000">
            <w:pPr>
              <w:spacing w:after="240" w:line="238" w:lineRule="auto"/>
              <w:ind w:left="0" w:right="55" w:firstLine="0"/>
            </w:pPr>
            <w:r>
              <w:t>Ponuda se dostavlja na Ponudbenom listu i Troškovniku iz dijela II. iz ovog Poziva na dostavu ponude, a kojeg je potrebno ispuniti i potpisati od strane odgovorne (ovlaštene) osobe ponuditelja. Naručitelj neće prihvatiti ponudu koja ne ispunjava uvjete i zahtjeve iz ovog Poziva na dostavu ponude.</w:t>
            </w:r>
          </w:p>
          <w:p w14:paraId="527F7BCD" w14:textId="77777777" w:rsidR="00445A51" w:rsidRDefault="00000000">
            <w:pPr>
              <w:spacing w:after="118" w:line="259" w:lineRule="auto"/>
              <w:ind w:left="0" w:firstLine="0"/>
              <w:jc w:val="left"/>
            </w:pPr>
            <w:r>
              <w:t>Molimo da Vašu ponudu dostavite:</w:t>
            </w:r>
          </w:p>
          <w:p w14:paraId="7FBD4BA6" w14:textId="21ECBCEC" w:rsidR="00445A51" w:rsidRDefault="00000000">
            <w:pPr>
              <w:numPr>
                <w:ilvl w:val="0"/>
                <w:numId w:val="2"/>
              </w:numPr>
              <w:spacing w:after="83" w:line="259" w:lineRule="auto"/>
              <w:ind w:hanging="284"/>
              <w:jc w:val="left"/>
              <w:rPr>
                <w:b/>
              </w:rPr>
            </w:pPr>
            <w:r>
              <w:t xml:space="preserve">Rok za dostavu ponude: </w:t>
            </w:r>
            <w:r>
              <w:rPr>
                <w:b/>
              </w:rPr>
              <w:t xml:space="preserve">Ponudu je potrebno dostaviti do 10:00 sati dana </w:t>
            </w:r>
            <w:r w:rsidR="005E0E34">
              <w:rPr>
                <w:b/>
              </w:rPr>
              <w:t>22</w:t>
            </w:r>
            <w:r>
              <w:rPr>
                <w:b/>
              </w:rPr>
              <w:t>.12.2025. godine;</w:t>
            </w:r>
          </w:p>
          <w:p w14:paraId="1C0C19E4" w14:textId="77777777" w:rsidR="00445A51" w:rsidRDefault="00000000">
            <w:pPr>
              <w:numPr>
                <w:ilvl w:val="0"/>
                <w:numId w:val="2"/>
              </w:numPr>
              <w:spacing w:after="134" w:line="244" w:lineRule="auto"/>
              <w:ind w:hanging="284"/>
              <w:jc w:val="left"/>
              <w:rPr>
                <w:b/>
              </w:rPr>
            </w:pPr>
            <w:r>
              <w:t xml:space="preserve">Način dostave ponude: </w:t>
            </w:r>
            <w:r>
              <w:rPr>
                <w:b/>
              </w:rPr>
              <w:t>Poštom s</w:t>
            </w:r>
            <w:r>
              <w:rPr>
                <w:b/>
                <w:i/>
              </w:rPr>
              <w:t xml:space="preserve"> naznakom na omotnici „ne otvaraj“, evidencijski broj nabave i naziv predmeta nabave ili e-mailom</w:t>
            </w:r>
            <w:r>
              <w:rPr>
                <w:b/>
              </w:rPr>
              <w:t xml:space="preserve">; </w:t>
            </w:r>
          </w:p>
          <w:p w14:paraId="1749F99A" w14:textId="77777777" w:rsidR="00445A51" w:rsidRDefault="00000000">
            <w:pPr>
              <w:numPr>
                <w:ilvl w:val="0"/>
                <w:numId w:val="2"/>
              </w:numPr>
              <w:spacing w:after="183" w:line="259" w:lineRule="auto"/>
              <w:ind w:hanging="284"/>
              <w:jc w:val="left"/>
            </w:pPr>
            <w:r>
              <w:t xml:space="preserve">Mjesto dostave ponude: </w:t>
            </w:r>
            <w:r>
              <w:rPr>
                <w:b/>
                <w:bCs/>
                <w:i/>
                <w:iCs/>
              </w:rPr>
              <w:t>Dom za starije osobe Split, Ivana pl. Zajca 2</w:t>
            </w:r>
          </w:p>
          <w:p w14:paraId="0BF93E26" w14:textId="573A6960" w:rsidR="00445A51" w:rsidRDefault="00000000">
            <w:pPr>
              <w:numPr>
                <w:ilvl w:val="0"/>
                <w:numId w:val="2"/>
              </w:numPr>
              <w:spacing w:after="183" w:line="259" w:lineRule="auto"/>
              <w:ind w:hanging="284"/>
              <w:jc w:val="left"/>
              <w:rPr>
                <w:b/>
                <w:bCs/>
                <w:iCs/>
              </w:rPr>
            </w:pPr>
            <w:r>
              <w:rPr>
                <w:i/>
              </w:rPr>
              <w:t>E-mail adresa</w:t>
            </w:r>
            <w:r>
              <w:rPr>
                <w:b/>
                <w:bCs/>
                <w:i/>
              </w:rPr>
              <w:t xml:space="preserve">: </w:t>
            </w:r>
            <w:r w:rsidRPr="005E0E34">
              <w:rPr>
                <w:b/>
                <w:bCs/>
                <w:iCs/>
                <w:u w:val="single"/>
              </w:rPr>
              <w:t>nabava</w:t>
            </w:r>
            <w:r w:rsidR="005E0E34" w:rsidRPr="005E0E34">
              <w:rPr>
                <w:b/>
                <w:bCs/>
                <w:u w:val="single"/>
              </w:rPr>
              <w:t>@dzsino-split.hr</w:t>
            </w:r>
          </w:p>
          <w:p w14:paraId="73D1E9EE" w14:textId="4D78E650" w:rsidR="00445A51" w:rsidRDefault="00000000">
            <w:pPr>
              <w:spacing w:after="0" w:line="259" w:lineRule="auto"/>
              <w:ind w:left="0" w:firstLine="0"/>
            </w:pPr>
            <w:r>
              <w:t xml:space="preserve">Otvaranje ponuda će se održati dana </w:t>
            </w:r>
            <w:r w:rsidR="005E0E34" w:rsidRPr="005E0E34">
              <w:rPr>
                <w:b/>
                <w:bCs/>
              </w:rPr>
              <w:t>22</w:t>
            </w:r>
            <w:r>
              <w:rPr>
                <w:b/>
                <w:bCs/>
              </w:rPr>
              <w:t>.12.2025. u 10:00</w:t>
            </w:r>
            <w:r>
              <w:t xml:space="preserve"> sati, u prostorijama Naručitelja . </w:t>
            </w:r>
          </w:p>
          <w:p w14:paraId="57083D28" w14:textId="77777777" w:rsidR="00445A51" w:rsidRDefault="00000000">
            <w:pPr>
              <w:spacing w:after="0" w:line="259" w:lineRule="auto"/>
              <w:ind w:left="0" w:firstLine="0"/>
              <w:jc w:val="left"/>
            </w:pPr>
            <w:r>
              <w:t>Otvaranje ponuda nije javno (nije obveza po ZJN-u javno otvarati ponude).</w:t>
            </w:r>
          </w:p>
        </w:tc>
      </w:tr>
      <w:tr w:rsidR="00445A51" w14:paraId="7A1037FC" w14:textId="77777777">
        <w:trPr>
          <w:trHeight w:val="567"/>
        </w:trPr>
        <w:tc>
          <w:tcPr>
            <w:tcW w:w="9618" w:type="dxa"/>
            <w:gridSpan w:val="2"/>
            <w:tcBorders>
              <w:top w:val="single" w:sz="4" w:space="0" w:color="181717"/>
              <w:left w:val="single" w:sz="8" w:space="0" w:color="181717"/>
              <w:bottom w:val="single" w:sz="4" w:space="0" w:color="181717"/>
              <w:right w:val="single" w:sz="8" w:space="0" w:color="181717"/>
            </w:tcBorders>
            <w:shd w:val="clear" w:color="auto" w:fill="DEDDDC"/>
            <w:vAlign w:val="center"/>
          </w:tcPr>
          <w:p w14:paraId="2A11705C" w14:textId="77777777" w:rsidR="00445A51" w:rsidRDefault="00000000">
            <w:pPr>
              <w:spacing w:after="0" w:line="259" w:lineRule="auto"/>
              <w:ind w:left="0" w:firstLine="0"/>
              <w:jc w:val="left"/>
            </w:pPr>
            <w:r>
              <w:rPr>
                <w:b/>
              </w:rPr>
              <w:t>6.  OSTALO</w:t>
            </w:r>
          </w:p>
        </w:tc>
      </w:tr>
      <w:tr w:rsidR="00445A51" w14:paraId="59ED6B76" w14:textId="77777777">
        <w:trPr>
          <w:trHeight w:val="2516"/>
        </w:trPr>
        <w:tc>
          <w:tcPr>
            <w:tcW w:w="9618" w:type="dxa"/>
            <w:gridSpan w:val="2"/>
            <w:tcBorders>
              <w:top w:val="single" w:sz="4" w:space="0" w:color="181717"/>
              <w:left w:val="single" w:sz="8" w:space="0" w:color="181717"/>
              <w:bottom w:val="single" w:sz="4" w:space="0" w:color="181717"/>
              <w:right w:val="single" w:sz="8" w:space="0" w:color="181717"/>
            </w:tcBorders>
          </w:tcPr>
          <w:p w14:paraId="5B40B216" w14:textId="375A849A" w:rsidR="00445A51" w:rsidRDefault="00000000">
            <w:pPr>
              <w:numPr>
                <w:ilvl w:val="0"/>
                <w:numId w:val="3"/>
              </w:numPr>
              <w:spacing w:after="176" w:line="249" w:lineRule="auto"/>
              <w:ind w:hanging="360"/>
            </w:pPr>
            <w:r>
              <w:t xml:space="preserve">Obavijesti u vezi s predmetom nabave: Kontakt osobe: Jasminka Hrgović, (021 401 812, e-mail: </w:t>
            </w:r>
            <w:r w:rsidRPr="005E0E34">
              <w:rPr>
                <w:u w:val="single"/>
              </w:rPr>
              <w:t>racunovodstvo</w:t>
            </w:r>
            <w:r w:rsidR="005E0E34" w:rsidRPr="005E0E34">
              <w:rPr>
                <w:u w:val="single"/>
              </w:rPr>
              <w:t>@dzsino-split.hr</w:t>
            </w:r>
            <w:r w:rsidRPr="005E0E34">
              <w:rPr>
                <w:u w:val="single"/>
              </w:rPr>
              <w:t>)</w:t>
            </w:r>
            <w:r>
              <w:t xml:space="preserve"> u vremenu od 08.00 do 14.00 sati svakim radnim danom;</w:t>
            </w:r>
          </w:p>
          <w:p w14:paraId="5BFCD36D" w14:textId="77777777" w:rsidR="00445A51" w:rsidRDefault="00445A51">
            <w:pPr>
              <w:spacing w:after="176" w:line="249" w:lineRule="auto"/>
              <w:ind w:left="0" w:firstLine="0"/>
            </w:pPr>
          </w:p>
          <w:p w14:paraId="0D47E9D9" w14:textId="77777777" w:rsidR="00445A51" w:rsidRDefault="00000000">
            <w:pPr>
              <w:numPr>
                <w:ilvl w:val="0"/>
                <w:numId w:val="3"/>
              </w:numPr>
              <w:spacing w:after="181" w:line="244" w:lineRule="auto"/>
              <w:ind w:hanging="360"/>
            </w:pPr>
            <w:r>
              <w:t>Obavijest o rezultatima predmetnog postupka nabave: Pisanu obavijest o rezultatima nabave naručitelj će dostaviti ponuditeljima u roku 15 dana od dana isteka roka za dostavu ponuda objavom na web stranici Doma.</w:t>
            </w:r>
          </w:p>
          <w:p w14:paraId="1AE2D6DE" w14:textId="77777777" w:rsidR="00445A51" w:rsidRDefault="00000000">
            <w:pPr>
              <w:numPr>
                <w:ilvl w:val="0"/>
                <w:numId w:val="3"/>
              </w:numPr>
              <w:spacing w:after="0" w:line="259" w:lineRule="auto"/>
              <w:ind w:hanging="360"/>
            </w:pPr>
            <w:r>
              <w:t xml:space="preserve">Sastavni dio ovog Poziva na dostavu ponude su: </w:t>
            </w:r>
          </w:p>
          <w:p w14:paraId="0B59BC7F" w14:textId="77777777" w:rsidR="00445A51" w:rsidRDefault="00000000">
            <w:pPr>
              <w:numPr>
                <w:ilvl w:val="0"/>
                <w:numId w:val="3"/>
              </w:numPr>
              <w:spacing w:after="0" w:line="259" w:lineRule="auto"/>
              <w:ind w:hanging="360"/>
            </w:pPr>
            <w:r>
              <w:t xml:space="preserve">Prilog I. Ponudbeni list </w:t>
            </w:r>
            <w:r>
              <w:rPr>
                <w:rFonts w:ascii="Segoe UI Symbol" w:eastAsia="Segoe UI Symbol" w:hAnsi="Segoe UI Symbol" w:cs="Segoe UI Symbol"/>
              </w:rPr>
              <w:tab/>
            </w:r>
          </w:p>
          <w:p w14:paraId="0CA1104F" w14:textId="77777777" w:rsidR="00445A51" w:rsidRDefault="00000000">
            <w:pPr>
              <w:numPr>
                <w:ilvl w:val="0"/>
                <w:numId w:val="3"/>
              </w:numPr>
              <w:spacing w:after="0" w:line="259" w:lineRule="auto"/>
              <w:ind w:hanging="360"/>
            </w:pPr>
            <w:r>
              <w:t>Prilog II. Troškovnik</w:t>
            </w:r>
          </w:p>
          <w:p w14:paraId="19FB54B5" w14:textId="77777777" w:rsidR="00445A51" w:rsidRDefault="00000000">
            <w:pPr>
              <w:numPr>
                <w:ilvl w:val="0"/>
                <w:numId w:val="3"/>
              </w:numPr>
              <w:spacing w:after="0" w:line="259" w:lineRule="auto"/>
              <w:ind w:hanging="360"/>
            </w:pPr>
            <w:r>
              <w:t>Prilog III. Obrazac popisa uredno izvršenih ugovora</w:t>
            </w:r>
          </w:p>
        </w:tc>
      </w:tr>
      <w:tr w:rsidR="00445A51" w14:paraId="0B199B5E" w14:textId="77777777">
        <w:trPr>
          <w:trHeight w:val="2268"/>
        </w:trPr>
        <w:tc>
          <w:tcPr>
            <w:tcW w:w="4809" w:type="dxa"/>
            <w:tcBorders>
              <w:top w:val="single" w:sz="4" w:space="0" w:color="181717"/>
              <w:left w:val="single" w:sz="8" w:space="0" w:color="181717"/>
              <w:bottom w:val="single" w:sz="8" w:space="0" w:color="181717"/>
              <w:right w:val="single" w:sz="4" w:space="0" w:color="181717"/>
            </w:tcBorders>
            <w:vAlign w:val="bottom"/>
          </w:tcPr>
          <w:p w14:paraId="04406131" w14:textId="77777777" w:rsidR="00445A51" w:rsidRDefault="00000000">
            <w:pPr>
              <w:spacing w:after="0" w:line="259" w:lineRule="auto"/>
              <w:ind w:left="0" w:firstLine="0"/>
              <w:jc w:val="left"/>
            </w:pPr>
            <w:r>
              <w:t xml:space="preserve">S poštovanjem, </w:t>
            </w:r>
          </w:p>
        </w:tc>
        <w:tc>
          <w:tcPr>
            <w:tcW w:w="4809" w:type="dxa"/>
            <w:tcBorders>
              <w:top w:val="single" w:sz="4" w:space="0" w:color="181717"/>
              <w:left w:val="single" w:sz="4" w:space="0" w:color="181717"/>
              <w:bottom w:val="single" w:sz="8" w:space="0" w:color="181717"/>
              <w:right w:val="single" w:sz="8" w:space="0" w:color="181717"/>
            </w:tcBorders>
            <w:vAlign w:val="bottom"/>
          </w:tcPr>
          <w:p w14:paraId="34DD47AE" w14:textId="77777777" w:rsidR="00445A51" w:rsidRDefault="00000000">
            <w:pPr>
              <w:spacing w:after="0" w:line="259" w:lineRule="auto"/>
              <w:ind w:left="0" w:right="55" w:firstLine="0"/>
              <w:jc w:val="right"/>
            </w:pPr>
            <w:r>
              <w:t>Ravnatelj:</w:t>
            </w:r>
          </w:p>
          <w:p w14:paraId="28139E80" w14:textId="77777777" w:rsidR="00445A51" w:rsidRDefault="00000000">
            <w:pPr>
              <w:spacing w:after="0" w:line="259" w:lineRule="auto"/>
              <w:ind w:left="0" w:right="55" w:firstLine="0"/>
              <w:jc w:val="right"/>
            </w:pPr>
            <w:r>
              <w:t>Ivan Škaričić</w:t>
            </w:r>
          </w:p>
          <w:p w14:paraId="13B4687F" w14:textId="77777777" w:rsidR="00445A51" w:rsidRDefault="00445A51">
            <w:pPr>
              <w:spacing w:after="0" w:line="259" w:lineRule="auto"/>
              <w:ind w:left="0" w:right="55" w:firstLine="0"/>
              <w:jc w:val="right"/>
            </w:pPr>
          </w:p>
        </w:tc>
      </w:tr>
    </w:tbl>
    <w:p w14:paraId="706A26B5" w14:textId="77777777" w:rsidR="00445A51" w:rsidRDefault="00445A51">
      <w:pPr>
        <w:spacing w:after="83" w:line="259" w:lineRule="auto"/>
        <w:ind w:left="-4"/>
        <w:jc w:val="left"/>
        <w:rPr>
          <w:rFonts w:ascii="Calibri" w:eastAsia="Calibri" w:hAnsi="Calibri" w:cs="Calibri"/>
          <w:b/>
        </w:rPr>
      </w:pPr>
    </w:p>
    <w:p w14:paraId="335BEB7C" w14:textId="77777777" w:rsidR="00445A51" w:rsidRDefault="00445A51"/>
    <w:sectPr w:rsidR="00445A51">
      <w:pgSz w:w="11906" w:h="16838"/>
      <w:pgMar w:top="1417" w:right="1417" w:bottom="1417" w:left="141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2C0B" w14:textId="77777777" w:rsidR="00382F5D" w:rsidRDefault="00382F5D">
      <w:pPr>
        <w:spacing w:line="240" w:lineRule="auto"/>
      </w:pPr>
      <w:r>
        <w:separator/>
      </w:r>
    </w:p>
  </w:endnote>
  <w:endnote w:type="continuationSeparator" w:id="0">
    <w:p w14:paraId="0CD1F1A8" w14:textId="77777777" w:rsidR="00382F5D" w:rsidRDefault="00382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1CC0" w14:textId="77777777" w:rsidR="00382F5D" w:rsidRDefault="00382F5D">
      <w:pPr>
        <w:spacing w:after="0"/>
      </w:pPr>
      <w:r>
        <w:separator/>
      </w:r>
    </w:p>
  </w:footnote>
  <w:footnote w:type="continuationSeparator" w:id="0">
    <w:p w14:paraId="78315E20" w14:textId="77777777" w:rsidR="00382F5D" w:rsidRDefault="00382F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10FD"/>
    <w:multiLevelType w:val="multilevel"/>
    <w:tmpl w:val="29ED10FD"/>
    <w:lvl w:ilvl="0">
      <w:start w:val="1"/>
      <w:numFmt w:val="bullet"/>
      <w:lvlText w:val="•"/>
      <w:lvlJc w:val="left"/>
      <w:pPr>
        <w:ind w:left="360"/>
      </w:pPr>
      <w:rPr>
        <w:rFonts w:ascii="Arial" w:eastAsia="Arial" w:hAnsi="Arial" w:cs="Arial"/>
        <w:b w:val="0"/>
        <w:i w:val="0"/>
        <w:strike w:val="0"/>
        <w:dstrike w:val="0"/>
        <w:color w:val="181717"/>
        <w:sz w:val="22"/>
        <w:szCs w:val="22"/>
        <w:u w:val="none" w:color="000000"/>
        <w:shd w:val="clear" w:color="auto" w:fill="auto"/>
        <w:vertAlign w:val="baseline"/>
      </w:rPr>
    </w:lvl>
    <w:lvl w:ilvl="1">
      <w:start w:val="1"/>
      <w:numFmt w:val="bullet"/>
      <w:lvlText w:val="o"/>
      <w:lvlJc w:val="left"/>
      <w:pPr>
        <w:ind w:left="116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2">
      <w:start w:val="1"/>
      <w:numFmt w:val="bullet"/>
      <w:lvlText w:val="▪"/>
      <w:lvlJc w:val="left"/>
      <w:pPr>
        <w:ind w:left="188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3">
      <w:start w:val="1"/>
      <w:numFmt w:val="bullet"/>
      <w:lvlText w:val="•"/>
      <w:lvlJc w:val="left"/>
      <w:pPr>
        <w:ind w:left="2600"/>
      </w:pPr>
      <w:rPr>
        <w:rFonts w:ascii="Arial" w:eastAsia="Arial" w:hAnsi="Arial" w:cs="Arial"/>
        <w:b w:val="0"/>
        <w:i w:val="0"/>
        <w:strike w:val="0"/>
        <w:dstrike w:val="0"/>
        <w:color w:val="181717"/>
        <w:sz w:val="22"/>
        <w:szCs w:val="22"/>
        <w:u w:val="none" w:color="000000"/>
        <w:shd w:val="clear" w:color="auto" w:fill="auto"/>
        <w:vertAlign w:val="baseline"/>
      </w:rPr>
    </w:lvl>
    <w:lvl w:ilvl="4">
      <w:start w:val="1"/>
      <w:numFmt w:val="bullet"/>
      <w:lvlText w:val="o"/>
      <w:lvlJc w:val="left"/>
      <w:pPr>
        <w:ind w:left="332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5">
      <w:start w:val="1"/>
      <w:numFmt w:val="bullet"/>
      <w:lvlText w:val="▪"/>
      <w:lvlJc w:val="left"/>
      <w:pPr>
        <w:ind w:left="404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6">
      <w:start w:val="1"/>
      <w:numFmt w:val="bullet"/>
      <w:lvlText w:val="•"/>
      <w:lvlJc w:val="left"/>
      <w:pPr>
        <w:ind w:left="4760"/>
      </w:pPr>
      <w:rPr>
        <w:rFonts w:ascii="Arial" w:eastAsia="Arial" w:hAnsi="Arial" w:cs="Arial"/>
        <w:b w:val="0"/>
        <w:i w:val="0"/>
        <w:strike w:val="0"/>
        <w:dstrike w:val="0"/>
        <w:color w:val="181717"/>
        <w:sz w:val="22"/>
        <w:szCs w:val="22"/>
        <w:u w:val="none" w:color="000000"/>
        <w:shd w:val="clear" w:color="auto" w:fill="auto"/>
        <w:vertAlign w:val="baseline"/>
      </w:rPr>
    </w:lvl>
    <w:lvl w:ilvl="7">
      <w:start w:val="1"/>
      <w:numFmt w:val="bullet"/>
      <w:lvlText w:val="o"/>
      <w:lvlJc w:val="left"/>
      <w:pPr>
        <w:ind w:left="548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8">
      <w:start w:val="1"/>
      <w:numFmt w:val="bullet"/>
      <w:lvlText w:val="▪"/>
      <w:lvlJc w:val="left"/>
      <w:pPr>
        <w:ind w:left="620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abstractNum>
  <w:abstractNum w:abstractNumId="1" w15:restartNumberingAfterBreak="0">
    <w:nsid w:val="318A40C1"/>
    <w:multiLevelType w:val="multilevel"/>
    <w:tmpl w:val="318A40C1"/>
    <w:lvl w:ilvl="0">
      <w:start w:val="1"/>
      <w:numFmt w:val="bullet"/>
      <w:lvlText w:val="•"/>
      <w:lvlJc w:val="left"/>
      <w:pPr>
        <w:ind w:left="284"/>
      </w:pPr>
      <w:rPr>
        <w:rFonts w:ascii="Arial" w:eastAsia="Arial" w:hAnsi="Arial" w:cs="Arial"/>
        <w:b w:val="0"/>
        <w:i w:val="0"/>
        <w:strike w:val="0"/>
        <w:dstrike w:val="0"/>
        <w:color w:val="181717"/>
        <w:sz w:val="22"/>
        <w:szCs w:val="22"/>
        <w:u w:val="none" w:color="000000"/>
        <w:shd w:val="clear" w:color="auto" w:fill="auto"/>
        <w:vertAlign w:val="baseline"/>
      </w:rPr>
    </w:lvl>
    <w:lvl w:ilvl="1">
      <w:start w:val="1"/>
      <w:numFmt w:val="bullet"/>
      <w:lvlText w:val="o"/>
      <w:lvlJc w:val="left"/>
      <w:pPr>
        <w:ind w:left="116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2">
      <w:start w:val="1"/>
      <w:numFmt w:val="bullet"/>
      <w:lvlText w:val="▪"/>
      <w:lvlJc w:val="left"/>
      <w:pPr>
        <w:ind w:left="188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3">
      <w:start w:val="1"/>
      <w:numFmt w:val="bullet"/>
      <w:lvlText w:val="•"/>
      <w:lvlJc w:val="left"/>
      <w:pPr>
        <w:ind w:left="2600"/>
      </w:pPr>
      <w:rPr>
        <w:rFonts w:ascii="Arial" w:eastAsia="Arial" w:hAnsi="Arial" w:cs="Arial"/>
        <w:b w:val="0"/>
        <w:i w:val="0"/>
        <w:strike w:val="0"/>
        <w:dstrike w:val="0"/>
        <w:color w:val="181717"/>
        <w:sz w:val="22"/>
        <w:szCs w:val="22"/>
        <w:u w:val="none" w:color="000000"/>
        <w:shd w:val="clear" w:color="auto" w:fill="auto"/>
        <w:vertAlign w:val="baseline"/>
      </w:rPr>
    </w:lvl>
    <w:lvl w:ilvl="4">
      <w:start w:val="1"/>
      <w:numFmt w:val="bullet"/>
      <w:lvlText w:val="o"/>
      <w:lvlJc w:val="left"/>
      <w:pPr>
        <w:ind w:left="332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5">
      <w:start w:val="1"/>
      <w:numFmt w:val="bullet"/>
      <w:lvlText w:val="▪"/>
      <w:lvlJc w:val="left"/>
      <w:pPr>
        <w:ind w:left="404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6">
      <w:start w:val="1"/>
      <w:numFmt w:val="bullet"/>
      <w:lvlText w:val="•"/>
      <w:lvlJc w:val="left"/>
      <w:pPr>
        <w:ind w:left="4760"/>
      </w:pPr>
      <w:rPr>
        <w:rFonts w:ascii="Arial" w:eastAsia="Arial" w:hAnsi="Arial" w:cs="Arial"/>
        <w:b w:val="0"/>
        <w:i w:val="0"/>
        <w:strike w:val="0"/>
        <w:dstrike w:val="0"/>
        <w:color w:val="181717"/>
        <w:sz w:val="22"/>
        <w:szCs w:val="22"/>
        <w:u w:val="none" w:color="000000"/>
        <w:shd w:val="clear" w:color="auto" w:fill="auto"/>
        <w:vertAlign w:val="baseline"/>
      </w:rPr>
    </w:lvl>
    <w:lvl w:ilvl="7">
      <w:start w:val="1"/>
      <w:numFmt w:val="bullet"/>
      <w:lvlText w:val="o"/>
      <w:lvlJc w:val="left"/>
      <w:pPr>
        <w:ind w:left="548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8">
      <w:start w:val="1"/>
      <w:numFmt w:val="bullet"/>
      <w:lvlText w:val="▪"/>
      <w:lvlJc w:val="left"/>
      <w:pPr>
        <w:ind w:left="620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abstractNum>
  <w:abstractNum w:abstractNumId="2" w15:restartNumberingAfterBreak="0">
    <w:nsid w:val="66E365CB"/>
    <w:multiLevelType w:val="multilevel"/>
    <w:tmpl w:val="66E365CB"/>
    <w:lvl w:ilvl="0">
      <w:start w:val="1"/>
      <w:numFmt w:val="bullet"/>
      <w:lvlText w:val="•"/>
      <w:lvlJc w:val="left"/>
      <w:pPr>
        <w:ind w:left="360"/>
      </w:pPr>
      <w:rPr>
        <w:rFonts w:ascii="Arial" w:eastAsia="Arial" w:hAnsi="Arial" w:cs="Arial"/>
        <w:b w:val="0"/>
        <w:i w:val="0"/>
        <w:strike w:val="0"/>
        <w:dstrike w:val="0"/>
        <w:color w:val="181717"/>
        <w:sz w:val="22"/>
        <w:szCs w:val="22"/>
        <w:u w:val="none" w:color="000000"/>
        <w:shd w:val="clear" w:color="auto" w:fill="auto"/>
        <w:vertAlign w:val="baseline"/>
      </w:rPr>
    </w:lvl>
    <w:lvl w:ilvl="1">
      <w:start w:val="1"/>
      <w:numFmt w:val="bullet"/>
      <w:lvlText w:val="o"/>
      <w:lvlJc w:val="left"/>
      <w:pPr>
        <w:ind w:left="116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2">
      <w:start w:val="1"/>
      <w:numFmt w:val="bullet"/>
      <w:lvlText w:val="▪"/>
      <w:lvlJc w:val="left"/>
      <w:pPr>
        <w:ind w:left="188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3">
      <w:start w:val="1"/>
      <w:numFmt w:val="bullet"/>
      <w:lvlText w:val="•"/>
      <w:lvlJc w:val="left"/>
      <w:pPr>
        <w:ind w:left="2600"/>
      </w:pPr>
      <w:rPr>
        <w:rFonts w:ascii="Arial" w:eastAsia="Arial" w:hAnsi="Arial" w:cs="Arial"/>
        <w:b w:val="0"/>
        <w:i w:val="0"/>
        <w:strike w:val="0"/>
        <w:dstrike w:val="0"/>
        <w:color w:val="181717"/>
        <w:sz w:val="22"/>
        <w:szCs w:val="22"/>
        <w:u w:val="none" w:color="000000"/>
        <w:shd w:val="clear" w:color="auto" w:fill="auto"/>
        <w:vertAlign w:val="baseline"/>
      </w:rPr>
    </w:lvl>
    <w:lvl w:ilvl="4">
      <w:start w:val="1"/>
      <w:numFmt w:val="bullet"/>
      <w:lvlText w:val="o"/>
      <w:lvlJc w:val="left"/>
      <w:pPr>
        <w:ind w:left="332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5">
      <w:start w:val="1"/>
      <w:numFmt w:val="bullet"/>
      <w:lvlText w:val="▪"/>
      <w:lvlJc w:val="left"/>
      <w:pPr>
        <w:ind w:left="404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6">
      <w:start w:val="1"/>
      <w:numFmt w:val="bullet"/>
      <w:lvlText w:val="•"/>
      <w:lvlJc w:val="left"/>
      <w:pPr>
        <w:ind w:left="4760"/>
      </w:pPr>
      <w:rPr>
        <w:rFonts w:ascii="Arial" w:eastAsia="Arial" w:hAnsi="Arial" w:cs="Arial"/>
        <w:b w:val="0"/>
        <w:i w:val="0"/>
        <w:strike w:val="0"/>
        <w:dstrike w:val="0"/>
        <w:color w:val="181717"/>
        <w:sz w:val="22"/>
        <w:szCs w:val="22"/>
        <w:u w:val="none" w:color="000000"/>
        <w:shd w:val="clear" w:color="auto" w:fill="auto"/>
        <w:vertAlign w:val="baseline"/>
      </w:rPr>
    </w:lvl>
    <w:lvl w:ilvl="7">
      <w:start w:val="1"/>
      <w:numFmt w:val="bullet"/>
      <w:lvlText w:val="o"/>
      <w:lvlJc w:val="left"/>
      <w:pPr>
        <w:ind w:left="548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lvl w:ilvl="8">
      <w:start w:val="1"/>
      <w:numFmt w:val="bullet"/>
      <w:lvlText w:val="▪"/>
      <w:lvlJc w:val="left"/>
      <w:pPr>
        <w:ind w:left="6200"/>
      </w:pPr>
      <w:rPr>
        <w:rFonts w:ascii="Segoe UI Symbol" w:eastAsia="Segoe UI Symbol" w:hAnsi="Segoe UI Symbol" w:cs="Segoe UI Symbol"/>
        <w:b w:val="0"/>
        <w:i w:val="0"/>
        <w:strike w:val="0"/>
        <w:dstrike w:val="0"/>
        <w:color w:val="181717"/>
        <w:sz w:val="22"/>
        <w:szCs w:val="22"/>
        <w:u w:val="none" w:color="000000"/>
        <w:shd w:val="clear" w:color="auto" w:fill="auto"/>
        <w:vertAlign w:val="baseline"/>
      </w:rPr>
    </w:lvl>
  </w:abstractNum>
  <w:num w:numId="1" w16cid:durableId="1669988628">
    <w:abstractNumId w:val="2"/>
  </w:num>
  <w:num w:numId="2" w16cid:durableId="1501847019">
    <w:abstractNumId w:val="1"/>
  </w:num>
  <w:num w:numId="3" w16cid:durableId="134239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B2"/>
    <w:rsid w:val="00057049"/>
    <w:rsid w:val="000D03A0"/>
    <w:rsid w:val="000E02AB"/>
    <w:rsid w:val="000F1466"/>
    <w:rsid w:val="00106C24"/>
    <w:rsid w:val="00144EC4"/>
    <w:rsid w:val="001749FE"/>
    <w:rsid w:val="002131A3"/>
    <w:rsid w:val="002141A0"/>
    <w:rsid w:val="00225634"/>
    <w:rsid w:val="00313751"/>
    <w:rsid w:val="003406C6"/>
    <w:rsid w:val="00372B5B"/>
    <w:rsid w:val="00382F5D"/>
    <w:rsid w:val="003A03B1"/>
    <w:rsid w:val="003E6558"/>
    <w:rsid w:val="00413BA3"/>
    <w:rsid w:val="00445A51"/>
    <w:rsid w:val="004A0032"/>
    <w:rsid w:val="00503FAB"/>
    <w:rsid w:val="00557C8E"/>
    <w:rsid w:val="005776C3"/>
    <w:rsid w:val="005B0AB3"/>
    <w:rsid w:val="005D398E"/>
    <w:rsid w:val="005D7689"/>
    <w:rsid w:val="005E0E34"/>
    <w:rsid w:val="00606560"/>
    <w:rsid w:val="00643F0A"/>
    <w:rsid w:val="006879F4"/>
    <w:rsid w:val="00737CB2"/>
    <w:rsid w:val="007D51CD"/>
    <w:rsid w:val="007E77A3"/>
    <w:rsid w:val="008108F4"/>
    <w:rsid w:val="00820B3C"/>
    <w:rsid w:val="008B19B6"/>
    <w:rsid w:val="009452BA"/>
    <w:rsid w:val="00946E0A"/>
    <w:rsid w:val="0098631D"/>
    <w:rsid w:val="00996512"/>
    <w:rsid w:val="009A2725"/>
    <w:rsid w:val="009E5E95"/>
    <w:rsid w:val="00A00A60"/>
    <w:rsid w:val="00A407EB"/>
    <w:rsid w:val="00A431BC"/>
    <w:rsid w:val="00A615EB"/>
    <w:rsid w:val="00AA1765"/>
    <w:rsid w:val="00AC56D0"/>
    <w:rsid w:val="00B17B19"/>
    <w:rsid w:val="00B62817"/>
    <w:rsid w:val="00B86AB5"/>
    <w:rsid w:val="00BB01CD"/>
    <w:rsid w:val="00C60A13"/>
    <w:rsid w:val="00C930B1"/>
    <w:rsid w:val="00CE5F13"/>
    <w:rsid w:val="00D11257"/>
    <w:rsid w:val="00D37EE0"/>
    <w:rsid w:val="00D508BB"/>
    <w:rsid w:val="00DC2FAA"/>
    <w:rsid w:val="00E0608C"/>
    <w:rsid w:val="00E07D51"/>
    <w:rsid w:val="00E23ACD"/>
    <w:rsid w:val="00E67C0D"/>
    <w:rsid w:val="00E91210"/>
    <w:rsid w:val="00E92936"/>
    <w:rsid w:val="00E9678C"/>
    <w:rsid w:val="00EE5238"/>
    <w:rsid w:val="00F15CB0"/>
    <w:rsid w:val="00F43B00"/>
    <w:rsid w:val="00F44FC8"/>
    <w:rsid w:val="00F563BD"/>
    <w:rsid w:val="00F87E66"/>
    <w:rsid w:val="00FA3579"/>
    <w:rsid w:val="00FA517C"/>
    <w:rsid w:val="00FB59B2"/>
    <w:rsid w:val="00FC0959"/>
    <w:rsid w:val="00FE5382"/>
    <w:rsid w:val="02DD2899"/>
    <w:rsid w:val="04DE63BE"/>
    <w:rsid w:val="0CA048D4"/>
    <w:rsid w:val="105671B6"/>
    <w:rsid w:val="1AAC7C5B"/>
    <w:rsid w:val="1B3071F1"/>
    <w:rsid w:val="1C247AA7"/>
    <w:rsid w:val="1FE04165"/>
    <w:rsid w:val="21AF0E41"/>
    <w:rsid w:val="2446372C"/>
    <w:rsid w:val="29435BA6"/>
    <w:rsid w:val="2EB74F39"/>
    <w:rsid w:val="337C3542"/>
    <w:rsid w:val="36AB25A7"/>
    <w:rsid w:val="3ABF086A"/>
    <w:rsid w:val="3D503CC8"/>
    <w:rsid w:val="405234B7"/>
    <w:rsid w:val="459C4912"/>
    <w:rsid w:val="461B38F0"/>
    <w:rsid w:val="46DD535C"/>
    <w:rsid w:val="4812652D"/>
    <w:rsid w:val="50480C24"/>
    <w:rsid w:val="50974DAB"/>
    <w:rsid w:val="544F02B4"/>
    <w:rsid w:val="56B46888"/>
    <w:rsid w:val="57BA117B"/>
    <w:rsid w:val="57D65467"/>
    <w:rsid w:val="69F52D8C"/>
    <w:rsid w:val="6E26440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5CBD"/>
  <w15:docId w15:val="{70A62237-7ED3-4D84-8BD7-3D3342D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48" w:lineRule="auto"/>
      <w:ind w:left="10" w:hanging="10"/>
      <w:jc w:val="both"/>
    </w:pPr>
    <w:rPr>
      <w:rFonts w:eastAsia="Times New Roman"/>
      <w:color w:val="181717"/>
      <w:sz w:val="22"/>
      <w:szCs w:val="22"/>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table" w:customStyle="1" w:styleId="TableGrid">
    <w:name w:val="TableGrid"/>
    <w:qFormat/>
    <w:rPr>
      <w:rFonts w:eastAsiaTheme="minorEastAsia"/>
      <w:lang w:eastAsia="hr-HR"/>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styleId="NoSpacing">
    <w:name w:val="No Spacing"/>
    <w:basedOn w:val="Normal"/>
    <w:link w:val="NoSpacingChar"/>
    <w:uiPriority w:val="1"/>
    <w:qFormat/>
    <w:pPr>
      <w:spacing w:after="0" w:line="240" w:lineRule="auto"/>
      <w:ind w:left="2160" w:firstLine="0"/>
      <w:jc w:val="left"/>
    </w:pPr>
    <w:rPr>
      <w:rFonts w:asciiTheme="minorHAnsi" w:eastAsiaTheme="minorHAnsi" w:hAnsiTheme="minorHAnsi" w:cstheme="minorBidi"/>
      <w:color w:val="595959" w:themeColor="text1" w:themeTint="A6"/>
      <w:sz w:val="20"/>
      <w:szCs w:val="20"/>
      <w:lang w:val="en-US" w:eastAsia="en-US" w:bidi="en-US"/>
    </w:rPr>
  </w:style>
  <w:style w:type="character" w:customStyle="1" w:styleId="NoSpacingChar">
    <w:name w:val="No Spacing Char"/>
    <w:basedOn w:val="DefaultParagraphFont"/>
    <w:link w:val="NoSpacing"/>
    <w:uiPriority w:val="1"/>
    <w:qFormat/>
    <w:rPr>
      <w:color w:val="595959" w:themeColor="text1" w:themeTint="A6"/>
      <w:sz w:val="20"/>
      <w:szCs w:val="20"/>
      <w:lang w:val="en-US" w:bidi="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Standard">
    <w:name w:val="Standard"/>
    <w:qFormat/>
    <w:pPr>
      <w:suppressAutoHyphens/>
      <w:autoSpaceDN w:val="0"/>
      <w:textAlignment w:val="baseline"/>
    </w:pPr>
    <w:rPr>
      <w:rFonts w:eastAsia="Times New Roman" w:cs="Calibri"/>
      <w:kern w:val="3"/>
      <w:sz w:val="24"/>
      <w:szCs w:val="24"/>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1977</Words>
  <Characters>11273</Characters>
  <Application>Microsoft Office Word</Application>
  <DocSecurity>0</DocSecurity>
  <Lines>93</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Batovanja</dc:creator>
  <cp:lastModifiedBy>Dom Zenta</cp:lastModifiedBy>
  <cp:revision>13</cp:revision>
  <cp:lastPrinted>2025-11-25T07:48:00Z</cp:lastPrinted>
  <dcterms:created xsi:type="dcterms:W3CDTF">2024-10-03T09:27:00Z</dcterms:created>
  <dcterms:modified xsi:type="dcterms:W3CDTF">2025-12-16T08:04:00Z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11DF26D1986840B1B1F35674B1809E83_12</vt:lpwstr>
  </property>
</Properties>
</file>